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38" w:rsidRPr="006A136D" w:rsidRDefault="00B94D38" w:rsidP="00B94D38">
      <w:pPr>
        <w:spacing w:before="60" w:after="60" w:line="288" w:lineRule="auto"/>
        <w:rPr>
          <w:color w:val="FF0000"/>
        </w:rPr>
      </w:pPr>
      <w:bookmarkStart w:id="0" w:name="_Toc499475708"/>
      <w:bookmarkStart w:id="1" w:name="_GoBack"/>
      <w:bookmarkEnd w:id="1"/>
    </w:p>
    <w:p w:rsidR="00B94D38" w:rsidRPr="001F038B" w:rsidRDefault="00B94D38" w:rsidP="00B94D38">
      <w:pPr>
        <w:spacing w:before="60" w:after="60" w:line="288" w:lineRule="auto"/>
        <w:jc w:val="both"/>
      </w:pPr>
      <w:r w:rsidRPr="001F038B">
        <w:rPr>
          <w:noProof/>
          <w:sz w:val="48"/>
          <w:szCs w:val="48"/>
          <w:lang w:eastAsia="cs-CZ"/>
        </w:rPr>
        <w:drawing>
          <wp:inline distT="0" distB="0" distL="0" distR="0" wp14:anchorId="48FFC7E3" wp14:editId="17A420C4">
            <wp:extent cx="6109266" cy="1542197"/>
            <wp:effectExtent l="0" t="0" r="6350" b="1270"/>
            <wp:docPr id="112"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2_RGB.jpg"/>
                    <pic:cNvPicPr/>
                  </pic:nvPicPr>
                  <pic:blipFill>
                    <a:blip r:embed="rId8">
                      <a:extLst>
                        <a:ext uri="{28A0092B-C50C-407E-A947-70E740481C1C}">
                          <a14:useLocalDpi xmlns:a14="http://schemas.microsoft.com/office/drawing/2010/main" val="0"/>
                        </a:ext>
                      </a:extLst>
                    </a:blip>
                    <a:stretch>
                      <a:fillRect/>
                    </a:stretch>
                  </pic:blipFill>
                  <pic:spPr>
                    <a:xfrm>
                      <a:off x="0" y="0"/>
                      <a:ext cx="6110430" cy="1542491"/>
                    </a:xfrm>
                    <a:prstGeom prst="rect">
                      <a:avLst/>
                    </a:prstGeom>
                  </pic:spPr>
                </pic:pic>
              </a:graphicData>
            </a:graphic>
          </wp:inline>
        </w:drawing>
      </w:r>
    </w:p>
    <w:p w:rsidR="00B94D38" w:rsidRPr="001F038B" w:rsidRDefault="00B94D38" w:rsidP="00B94D38">
      <w:pPr>
        <w:spacing w:before="60" w:after="60" w:line="288" w:lineRule="auto"/>
        <w:jc w:val="both"/>
      </w:pPr>
    </w:p>
    <w:p w:rsidR="00B94D38" w:rsidRPr="00B94D38" w:rsidRDefault="00B94D38" w:rsidP="00B94D38">
      <w:pPr>
        <w:spacing w:before="60" w:after="60" w:line="288" w:lineRule="auto"/>
        <w:jc w:val="center"/>
        <w:rPr>
          <w:b/>
          <w:sz w:val="44"/>
          <w:szCs w:val="44"/>
        </w:rPr>
      </w:pPr>
      <w:r w:rsidRPr="00B94D38">
        <w:rPr>
          <w:b/>
          <w:sz w:val="44"/>
          <w:szCs w:val="44"/>
        </w:rPr>
        <w:t>DODATEK Č. 1 CLLD_17_03_35</w:t>
      </w:r>
    </w:p>
    <w:p w:rsidR="00B94D38" w:rsidRPr="008E35F6" w:rsidRDefault="008E35F6" w:rsidP="00B94D38">
      <w:pPr>
        <w:spacing w:before="60" w:after="60" w:line="288" w:lineRule="auto"/>
        <w:jc w:val="center"/>
      </w:pPr>
      <w:r w:rsidRPr="008E35F6">
        <w:t>UPRAVENÁ PODOBA GRAFICKÉHO ZNÁZORNĚNÍ STRUKTURY PROGRAMOVÝCH RÁMCŮ SCLLD VČETNĚ SCHÉMTICKÉKHO ZNÁZORNĚNÍ VAZEB NA OPATŘENÍ MIMO PROGRAMOVÉ RÁMCE A POPIS INTEGROVANÉHO PŘÍSTUPU NAPŘÍČ PROGRAMOVÝMI RÁMCI (integrace na úrovni opatření, případně fichí PRV, jednotlivých programových rámců) – změny vyznačeny žlutě</w:t>
      </w:r>
    </w:p>
    <w:p w:rsidR="00B94D38" w:rsidRPr="001F038B" w:rsidRDefault="008A27B3" w:rsidP="008A27B3">
      <w:pPr>
        <w:jc w:val="center"/>
        <w:rPr>
          <w:b/>
          <w:bCs/>
          <w:sz w:val="44"/>
          <w:szCs w:val="44"/>
        </w:rPr>
      </w:pPr>
      <w:r>
        <w:rPr>
          <w:b/>
          <w:bCs/>
          <w:sz w:val="44"/>
          <w:szCs w:val="44"/>
        </w:rPr>
        <w:t>Přidání nového Programového rámce OPŽP</w:t>
      </w:r>
    </w:p>
    <w:p w:rsidR="00B94D38" w:rsidRPr="001F038B" w:rsidRDefault="00B94D38" w:rsidP="00B94D38">
      <w:pPr>
        <w:spacing w:after="0"/>
        <w:jc w:val="center"/>
        <w:rPr>
          <w:b/>
          <w:bCs/>
          <w:sz w:val="44"/>
          <w:szCs w:val="44"/>
        </w:rPr>
      </w:pPr>
      <w:r w:rsidRPr="001F038B">
        <w:rPr>
          <w:b/>
          <w:bCs/>
          <w:sz w:val="44"/>
          <w:szCs w:val="44"/>
        </w:rPr>
        <w:t>Strategie komunitně vedeného místního rozvoje pro území MAS Rokytná</w:t>
      </w:r>
    </w:p>
    <w:p w:rsidR="00B94D38" w:rsidRPr="001F038B" w:rsidRDefault="00B94D38" w:rsidP="00B94D38">
      <w:pPr>
        <w:jc w:val="center"/>
        <w:rPr>
          <w:b/>
          <w:bCs/>
          <w:sz w:val="44"/>
          <w:szCs w:val="44"/>
        </w:rPr>
      </w:pPr>
      <w:r w:rsidRPr="001F038B">
        <w:rPr>
          <w:b/>
          <w:bCs/>
          <w:sz w:val="44"/>
          <w:szCs w:val="44"/>
        </w:rPr>
        <w:t>pro období 2014–2020</w:t>
      </w:r>
    </w:p>
    <w:p w:rsidR="00B94D38" w:rsidRPr="001F038B" w:rsidRDefault="00B94D38" w:rsidP="00B94D38">
      <w:pPr>
        <w:jc w:val="center"/>
        <w:rPr>
          <w:b/>
          <w:bCs/>
          <w:sz w:val="44"/>
          <w:szCs w:val="44"/>
        </w:rPr>
      </w:pPr>
      <w:r w:rsidRPr="001F038B">
        <w:rPr>
          <w:b/>
          <w:bCs/>
          <w:sz w:val="44"/>
          <w:szCs w:val="44"/>
        </w:rPr>
        <w:t>„Cesta k rozkvětu regionu“</w:t>
      </w:r>
    </w:p>
    <w:p w:rsidR="00B94D38" w:rsidRPr="001F038B" w:rsidRDefault="00B94D38" w:rsidP="00B94D38">
      <w:pPr>
        <w:spacing w:line="336" w:lineRule="auto"/>
        <w:jc w:val="center"/>
        <w:rPr>
          <w:sz w:val="48"/>
          <w:szCs w:val="48"/>
        </w:rPr>
      </w:pPr>
    </w:p>
    <w:p w:rsidR="00B94D38" w:rsidRPr="001F038B" w:rsidRDefault="00B94D38" w:rsidP="00B94D38">
      <w:pPr>
        <w:spacing w:line="336" w:lineRule="auto"/>
        <w:jc w:val="center"/>
        <w:rPr>
          <w:sz w:val="36"/>
          <w:szCs w:val="36"/>
        </w:rPr>
      </w:pPr>
      <w:r w:rsidRPr="001F038B">
        <w:rPr>
          <w:sz w:val="36"/>
          <w:szCs w:val="36"/>
        </w:rPr>
        <w:t>Strategie komunitně vedeného místního rozvoje</w:t>
      </w:r>
    </w:p>
    <w:p w:rsidR="00B94D38" w:rsidRPr="001F038B" w:rsidRDefault="00B94D38" w:rsidP="00B94D38">
      <w:pPr>
        <w:spacing w:line="336" w:lineRule="auto"/>
        <w:jc w:val="center"/>
        <w:rPr>
          <w:sz w:val="36"/>
          <w:szCs w:val="36"/>
        </w:rPr>
      </w:pPr>
      <w:r w:rsidRPr="001F038B">
        <w:rPr>
          <w:sz w:val="36"/>
          <w:szCs w:val="36"/>
        </w:rPr>
        <w:t>SCLLD - Strategy of Community Led Local Development</w:t>
      </w:r>
    </w:p>
    <w:p w:rsidR="00B94D38" w:rsidRPr="001F038B" w:rsidRDefault="00B94D38" w:rsidP="00B94D38">
      <w:pPr>
        <w:spacing w:before="60" w:after="60" w:line="288" w:lineRule="auto"/>
        <w:jc w:val="both"/>
        <w:rPr>
          <w:sz w:val="28"/>
          <w:szCs w:val="28"/>
        </w:rPr>
      </w:pPr>
    </w:p>
    <w:p w:rsidR="00B94D38" w:rsidRPr="001F038B" w:rsidRDefault="00B94D38" w:rsidP="00B94D38">
      <w:pPr>
        <w:spacing w:before="60" w:after="60" w:line="288" w:lineRule="auto"/>
        <w:jc w:val="both"/>
        <w:rPr>
          <w:sz w:val="28"/>
          <w:szCs w:val="28"/>
        </w:rPr>
      </w:pPr>
      <w:r w:rsidRPr="001F038B">
        <w:rPr>
          <w:noProof/>
          <w:sz w:val="28"/>
          <w:szCs w:val="28"/>
          <w:lang w:eastAsia="cs-CZ"/>
        </w:rPr>
        <w:drawing>
          <wp:inline distT="0" distB="0" distL="0" distR="0" wp14:anchorId="0E89B5C1" wp14:editId="540E6994">
            <wp:extent cx="5740815" cy="514350"/>
            <wp:effectExtent l="0" t="0" r="0" b="0"/>
            <wp:docPr id="671" name="Obrázek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MR-OTP.png"/>
                    <pic:cNvPicPr/>
                  </pic:nvPicPr>
                  <pic:blipFill>
                    <a:blip r:embed="rId9">
                      <a:extLst>
                        <a:ext uri="{28A0092B-C50C-407E-A947-70E740481C1C}">
                          <a14:useLocalDpi xmlns:a14="http://schemas.microsoft.com/office/drawing/2010/main" val="0"/>
                        </a:ext>
                      </a:extLst>
                    </a:blip>
                    <a:stretch>
                      <a:fillRect/>
                    </a:stretch>
                  </pic:blipFill>
                  <pic:spPr>
                    <a:xfrm>
                      <a:off x="0" y="0"/>
                      <a:ext cx="5753349" cy="515473"/>
                    </a:xfrm>
                    <a:prstGeom prst="rect">
                      <a:avLst/>
                    </a:prstGeom>
                  </pic:spPr>
                </pic:pic>
              </a:graphicData>
            </a:graphic>
          </wp:inline>
        </w:drawing>
      </w:r>
    </w:p>
    <w:p w:rsidR="00B94D38" w:rsidRPr="001F038B" w:rsidRDefault="00B94D38" w:rsidP="00B94D38">
      <w:pPr>
        <w:spacing w:before="60" w:line="288" w:lineRule="auto"/>
        <w:jc w:val="both"/>
        <w:rPr>
          <w:rFonts w:eastAsiaTheme="majorEastAsia" w:cstheme="majorBidi"/>
          <w:b/>
          <w:bCs/>
          <w:color w:val="632423" w:themeColor="accent2" w:themeShade="80"/>
          <w:sz w:val="32"/>
          <w:szCs w:val="28"/>
        </w:rPr>
      </w:pPr>
    </w:p>
    <w:p w:rsidR="00B94D38" w:rsidRDefault="00B94D38" w:rsidP="00144A25">
      <w:pPr>
        <w:pStyle w:val="Nadpis3"/>
      </w:pPr>
    </w:p>
    <w:p w:rsidR="00144A25" w:rsidRPr="001F038B" w:rsidRDefault="00144A25" w:rsidP="00144A25">
      <w:pPr>
        <w:pStyle w:val="Nadpis3"/>
      </w:pPr>
      <w:r w:rsidRPr="001F038B">
        <w:t>Struktura programových rámců a ostatních opatření SCLLD</w:t>
      </w:r>
      <w:bookmarkEnd w:id="0"/>
    </w:p>
    <w:p w:rsidR="00144A25" w:rsidRPr="001F038B" w:rsidRDefault="00144A25" w:rsidP="00144A25">
      <w:pPr>
        <w:rPr>
          <w:lang w:eastAsia="cs-CZ"/>
        </w:rPr>
      </w:pPr>
    </w:p>
    <w:tbl>
      <w:tblPr>
        <w:tblW w:w="8520" w:type="dxa"/>
        <w:tblInd w:w="55" w:type="dxa"/>
        <w:tblCellMar>
          <w:left w:w="70" w:type="dxa"/>
          <w:right w:w="70" w:type="dxa"/>
        </w:tblCellMar>
        <w:tblLook w:val="04A0" w:firstRow="1" w:lastRow="0" w:firstColumn="1" w:lastColumn="0" w:noHBand="0" w:noVBand="1"/>
      </w:tblPr>
      <w:tblGrid>
        <w:gridCol w:w="4268"/>
        <w:gridCol w:w="540"/>
        <w:gridCol w:w="3712"/>
      </w:tblGrid>
      <w:tr w:rsidR="00144A25" w:rsidRPr="001F038B" w:rsidTr="007D6B99">
        <w:trPr>
          <w:trHeight w:val="495"/>
        </w:trPr>
        <w:tc>
          <w:tcPr>
            <w:tcW w:w="4268" w:type="dxa"/>
            <w:tcBorders>
              <w:top w:val="nil"/>
              <w:left w:val="nil"/>
              <w:bottom w:val="nil"/>
              <w:right w:val="nil"/>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b/>
                <w:bCs/>
                <w:color w:val="000000"/>
                <w:sz w:val="16"/>
                <w:szCs w:val="16"/>
                <w:lang w:eastAsia="cs-CZ"/>
              </w:rPr>
            </w:pPr>
            <w:r w:rsidRPr="001F038B">
              <w:rPr>
                <w:rFonts w:ascii="Calibri" w:eastAsia="Times New Roman" w:hAnsi="Calibri" w:cs="Times New Roman"/>
                <w:b/>
                <w:bCs/>
                <w:color w:val="000000"/>
                <w:sz w:val="16"/>
                <w:szCs w:val="16"/>
                <w:lang w:eastAsia="cs-CZ"/>
              </w:rPr>
              <w:t>Opatření SCLLD MAS Rokytná mimo programové rámce</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b/>
                <w:bCs/>
                <w:color w:val="000000"/>
                <w:sz w:val="16"/>
                <w:szCs w:val="16"/>
                <w:lang w:eastAsia="cs-CZ"/>
              </w:rPr>
            </w:pPr>
            <w:r w:rsidRPr="001F038B">
              <w:rPr>
                <w:rFonts w:ascii="Calibri" w:eastAsia="Times New Roman" w:hAnsi="Calibri" w:cs="Times New Roman"/>
                <w:b/>
                <w:bCs/>
                <w:color w:val="000000"/>
                <w:sz w:val="16"/>
                <w:szCs w:val="16"/>
                <w:lang w:eastAsia="cs-CZ"/>
              </w:rPr>
              <w:t>Opatření programového rámce IROP MAS  Rokytná</w:t>
            </w:r>
          </w:p>
        </w:tc>
      </w:tr>
      <w:tr w:rsidR="00144A25" w:rsidRPr="001F038B" w:rsidTr="007D6B99">
        <w:trPr>
          <w:trHeight w:val="300"/>
        </w:trPr>
        <w:tc>
          <w:tcPr>
            <w:tcW w:w="4268" w:type="dxa"/>
            <w:tcBorders>
              <w:top w:val="single" w:sz="4" w:space="0" w:color="FFFFFF"/>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1.1.1. Investice do pitné vody a čištění odpadních vod</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1.2.1. Modernizace základních veřejných sítí a technologií pro veřejnou správu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2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1.2.2. Investice do akceschopnosti složek IZS</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1.2.2.A. Investice do akceschopnosti složek IZS</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1.3.1. Investice do přípravy pozemků pro stavební využití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2.1.1. Zkapacitnění a modernizace silnice I/38</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2.2.1. Investice do silniční sítě regionu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2.3.1. Zlepšování bezpečnosti silnic a budování chodníků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2.4.1. Podpora udržitelnosti nemotorové a veřejné dopravy</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2.4.1.A. Podpora udržitelnosti nemotorové a veřejné dopravy</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3.1.1. Investice do zateplování a efektivních zdrojů vytápění veřejných budov</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3.2.1. Investice do zateplování a efektivních zdrojů vytápění soukromých budov</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3.3.1. Investice do sportovišť a dalšího zázemí pro volný čas spolkovou činnost</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525"/>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3.4.1. Investice do revitalizace hmotných památek</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3.4.1.A. Investice do revitalizace hmotných památek</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3.5.1. Revitalizace veřejných prostranství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4.1.1. Zvyšování zaměstnanosti prostřednictvím investic do lidských zdrojů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4.2.1. Veřejná podpora podmínek pro nárůst zaměstnanosti</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4.2.2. Podpora pro-rodinných opatření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4.3.1. Zvyšování konkurenceschopnosti nezemědělských podnikatelů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4.3.2. Investice do znalostní ekonomiky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4.4.1. Investice do nabídky v oblasti cestovního ruchu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15"/>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4.5.1. Podpora zázemí sociálních podniků</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4.5.1.A. Podpora zázemí sociálních podniků</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4.5.2. Podpora činností vedoucích k rozvoji sociálních podniků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4.5.3. Zvyšování dopadu činnosti místních neziskových organizací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4.5.6. Podpora inovativních metod spolupráce v zemědělství, lesnictví a potravinářství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4.6.1. Podpora konkurenceschopnosti místních zemědělců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4.6.2. Podpora konkurenceschopnosti lesního hospodářství a lesnických produktů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4.6.3. Podpora konkurenceschopnosti zpracování zemědělských produktů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4.6.4. Zlepšování lesnické infrastruktury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4.6.5. Zlepšování zemědělské infrastruktury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5.1.1. Investice do ochrany životního prostředí a prostupnosti krajiny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5.1.2. Podpora rekreačních funkcí lesa</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5.2.1. Zlepšování vodního režimu v zemědělské krajině a v intravilánu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5.2.2. Zlepšování vodního režimu v lesích</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lastRenderedPageBreak/>
              <w:t xml:space="preserve"> 5.3.1. Podpora hospodárného nakládání s odpady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6.1.1. Investice do kapacit a kvality škol a školek</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6.1.1.A. Investice do kapacit a kvality škol a školek</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6.2.1. Podpora modernizace a dostupnosti zdravotní péče</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6.3.1. Investice do infrastruktury pro služby vedoucí k sociální inkluzi</w:t>
            </w:r>
          </w:p>
        </w:tc>
        <w:tc>
          <w:tcPr>
            <w:tcW w:w="54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712" w:type="dxa"/>
            <w:tcBorders>
              <w:top w:val="single" w:sz="4" w:space="0" w:color="FFFFFF"/>
              <w:left w:val="nil"/>
              <w:bottom w:val="single" w:sz="4" w:space="0" w:color="FFFFFF"/>
              <w:right w:val="single" w:sz="4" w:space="0" w:color="FFFFFF"/>
            </w:tcBorders>
            <w:shd w:val="clear" w:color="000000" w:fill="FFC000"/>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6.3.1.A. Investice do infrastruktury pro služby vedoucí k sociální inkluzi</w:t>
            </w: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6.3.2. Podpora poskytování sociálních a inkluzivních služeb</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6.4.1. Zkvalitňování služeb pro občany</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6.4.2. Snižování administrativní zátěže pro obce</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6.5.1. Podpora komunitně vedeného místního rozvoje</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6.5.2. Investice do územního plánování</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6.6.1. Zajištění kvalitního pokrytí území veřejnou dopravou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7.1.1. Podpora aktivit místních spolků</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7.2.1. Investice do turistické atraktivity regionu</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4268"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7.3.1. Podpora konání akcí pro veřejnost</w:t>
            </w:r>
          </w:p>
        </w:tc>
        <w:tc>
          <w:tcPr>
            <w:tcW w:w="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712"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bl>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tbl>
      <w:tblPr>
        <w:tblW w:w="9340" w:type="dxa"/>
        <w:tblInd w:w="55" w:type="dxa"/>
        <w:tblCellMar>
          <w:left w:w="70" w:type="dxa"/>
          <w:right w:w="70" w:type="dxa"/>
        </w:tblCellMar>
        <w:tblLook w:val="04A0" w:firstRow="1" w:lastRow="0" w:firstColumn="1" w:lastColumn="0" w:noHBand="0" w:noVBand="1"/>
      </w:tblPr>
      <w:tblGrid>
        <w:gridCol w:w="5520"/>
        <w:gridCol w:w="560"/>
        <w:gridCol w:w="3260"/>
      </w:tblGrid>
      <w:tr w:rsidR="00144A25" w:rsidRPr="001F038B" w:rsidTr="007D6B99">
        <w:trPr>
          <w:trHeight w:val="495"/>
        </w:trPr>
        <w:tc>
          <w:tcPr>
            <w:tcW w:w="5520" w:type="dxa"/>
            <w:tcBorders>
              <w:top w:val="nil"/>
              <w:left w:val="nil"/>
              <w:bottom w:val="nil"/>
              <w:right w:val="nil"/>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b/>
                <w:bCs/>
                <w:color w:val="000000"/>
                <w:sz w:val="16"/>
                <w:szCs w:val="16"/>
                <w:lang w:eastAsia="cs-CZ"/>
              </w:rPr>
            </w:pPr>
            <w:r w:rsidRPr="001F038B">
              <w:rPr>
                <w:rFonts w:ascii="Calibri" w:eastAsia="Times New Roman" w:hAnsi="Calibri" w:cs="Times New Roman"/>
                <w:b/>
                <w:bCs/>
                <w:color w:val="000000"/>
                <w:sz w:val="16"/>
                <w:szCs w:val="16"/>
                <w:lang w:eastAsia="cs-CZ"/>
              </w:rPr>
              <w:lastRenderedPageBreak/>
              <w:t>Opatření SCLLD MAS Rokytná mimo programové rámce</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b/>
                <w:bCs/>
                <w:color w:val="000000"/>
                <w:sz w:val="16"/>
                <w:szCs w:val="16"/>
                <w:lang w:eastAsia="cs-CZ"/>
              </w:rPr>
            </w:pPr>
            <w:r w:rsidRPr="001F038B">
              <w:rPr>
                <w:rFonts w:ascii="Calibri" w:eastAsia="Times New Roman" w:hAnsi="Calibri" w:cs="Times New Roman"/>
                <w:b/>
                <w:bCs/>
                <w:color w:val="000000"/>
                <w:sz w:val="16"/>
                <w:szCs w:val="16"/>
                <w:lang w:eastAsia="cs-CZ"/>
              </w:rPr>
              <w:t>Opatření programového rámce PRV MAS Rokytná</w:t>
            </w:r>
          </w:p>
        </w:tc>
      </w:tr>
      <w:tr w:rsidR="00144A25" w:rsidRPr="001F038B" w:rsidTr="007D6B99">
        <w:trPr>
          <w:trHeight w:val="300"/>
        </w:trPr>
        <w:tc>
          <w:tcPr>
            <w:tcW w:w="5520" w:type="dxa"/>
            <w:tcBorders>
              <w:top w:val="single" w:sz="4" w:space="0" w:color="FFFFFF"/>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1.1.1. Investice do pitné vody a čištění odpadních vod</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1.2.1. Modernizace základních veřejných sítí a technologií pro veřejnou správu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1.2.2. Investice do akceschopnosti složek IZS</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1.3.1. Investice do přípravy pozemků pro stavební využití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2.1.1. Zkapacitnění a modernizace silnice I/38</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2.2.1. Investice do silniční sítě regionu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2.3.1. Zlepšování bezpečnosti silnic a budování chodníků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2.4.1. Podpora udržitelnosti nemotorové a veřejné dopravy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3.1.1. Investice do zateplování a efektivních zdrojů vytápění veřejných budov</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05"/>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3.2.1. Investice do zateplování a efektivních zdrojů vytápění soukromých budov</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3.3.1. Investice do sportovišť a dalšího zázemí pro volný čas spolkovou činnost</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3.4.1. Investice do revitalizace hmotných památek</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3.5.1. Revitalizace veřejných prostranství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4.1.1. Zvyšování zaměstnanosti prostřednictvím investic do lidských zdrojů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4.2.1. Veřejná podpora podmínek pro nárůst zaměstnanosti</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4.2.2. Podpora pro-rodinných opatření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54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4.3.1. Zvyšování konkurenceschopnosti nezemědělských podnikatelů</w:t>
            </w:r>
          </w:p>
        </w:tc>
        <w:tc>
          <w:tcPr>
            <w:tcW w:w="56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260" w:type="dxa"/>
            <w:tcBorders>
              <w:top w:val="single" w:sz="4" w:space="0" w:color="FFFFFF"/>
              <w:left w:val="nil"/>
              <w:bottom w:val="single" w:sz="4" w:space="0" w:color="FFFFFF"/>
              <w:right w:val="single" w:sz="4" w:space="0" w:color="FFFFFF"/>
            </w:tcBorders>
            <w:shd w:val="clear" w:color="000000" w:fill="C4D79B"/>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4.3.1.A. Zvyšování konkurenceschopnosti nezemědělských podnikatelů</w:t>
            </w: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4.3.2. Investice do znalostní ekonomiky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4.4.1. Investice do nabídky v oblasti cestovního ruchu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4.5.1. Podpora zázemí sociálních podniků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4.5.2. Podpora činností vedoucích k rozvoji sociálních podniků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4.5.3. Zvyšování dopadu činnosti místních neziskových organizací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8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4.5.6. Podpora inovativních metod spolupráce v zemědělství, lesnictví a potravinářství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5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4.6.1. Podpora konkurenceschopnosti místních zemědělců</w:t>
            </w:r>
          </w:p>
        </w:tc>
        <w:tc>
          <w:tcPr>
            <w:tcW w:w="56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260" w:type="dxa"/>
            <w:tcBorders>
              <w:top w:val="single" w:sz="4" w:space="0" w:color="FFFFFF"/>
              <w:left w:val="nil"/>
              <w:bottom w:val="single" w:sz="4" w:space="0" w:color="FFFFFF"/>
              <w:right w:val="single" w:sz="4" w:space="0" w:color="FFFFFF"/>
            </w:tcBorders>
            <w:shd w:val="clear" w:color="000000" w:fill="C4D79B"/>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4.6.1.A. Podpora konkurenceschopnosti místních zemědělců</w:t>
            </w:r>
          </w:p>
        </w:tc>
      </w:tr>
      <w:tr w:rsidR="00144A25" w:rsidRPr="001F038B" w:rsidTr="007D6B99">
        <w:trPr>
          <w:trHeight w:val="45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4.6.2. Podpora konkurenceschopnosti lesního hospodářství a lesnických produktů</w:t>
            </w:r>
          </w:p>
        </w:tc>
        <w:tc>
          <w:tcPr>
            <w:tcW w:w="56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260" w:type="dxa"/>
            <w:tcBorders>
              <w:top w:val="nil"/>
              <w:left w:val="nil"/>
              <w:bottom w:val="single" w:sz="4" w:space="0" w:color="FFFFFF"/>
              <w:right w:val="single" w:sz="4" w:space="0" w:color="FFFFFF"/>
            </w:tcBorders>
            <w:shd w:val="clear" w:color="000000" w:fill="C4D79B"/>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4.6.2.A. Podpora konkurenceschopnosti lesního hospodářství a lesnických produktů</w:t>
            </w: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4.6.3. Podpora konkurenceschopnosti zpracování zemědělských produktů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15"/>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4.6.4. Zlepšování lesnické infrastruktury</w:t>
            </w:r>
          </w:p>
        </w:tc>
        <w:tc>
          <w:tcPr>
            <w:tcW w:w="56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260" w:type="dxa"/>
            <w:tcBorders>
              <w:top w:val="single" w:sz="4" w:space="0" w:color="FFFFFF"/>
              <w:left w:val="nil"/>
              <w:bottom w:val="single" w:sz="4" w:space="0" w:color="FFFFFF"/>
              <w:right w:val="single" w:sz="4" w:space="0" w:color="FFFFFF"/>
            </w:tcBorders>
            <w:shd w:val="clear" w:color="000000" w:fill="C4D79B"/>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4.6.4.A. Zlepšování lesnické infrastruktury</w:t>
            </w: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4.6.5. Zlepšování zemědělské infrastruktury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5.1.1. Investice do ochrany životního prostředí a prostupnosti krajiny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5.1.2. Podpora rekreačních funkcí lesa</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5.2.1. Zlepšování vodního režimu v zemědělské krajině a v intravilánu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5.2.2. Zlepšování vodního režimu v lesích</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5.3.1. Podpora hospodárného nakládání s odpady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6.1.1. Investice do kapacit a kvality škol a školek</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6.2.1. Podpora modernizace a dostupnosti zdravotní péče</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6.3.1. Investice do infrastruktury pro služby vedoucí k sociální inkluzi</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6.3.2. Podpora poskytování sociálních a inkluzivních služeb</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6.4.1. Zkvalitňování služeb pro občany</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6.4.2. Snižování administrativní zátěže pro obce</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42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6.5.1. Podpora komunitně vedeného místního rozvoje</w:t>
            </w:r>
          </w:p>
        </w:tc>
        <w:tc>
          <w:tcPr>
            <w:tcW w:w="560" w:type="dxa"/>
            <w:tcBorders>
              <w:top w:val="nil"/>
              <w:left w:val="nil"/>
              <w:bottom w:val="nil"/>
              <w:right w:val="nil"/>
            </w:tcBorders>
            <w:shd w:val="clear" w:color="auto" w:fill="auto"/>
            <w:noWrap/>
            <w:vAlign w:val="center"/>
            <w:hideMark/>
          </w:tcPr>
          <w:p w:rsidR="00144A25" w:rsidRPr="001F038B" w:rsidRDefault="00144A25" w:rsidP="007D6B99">
            <w:pPr>
              <w:spacing w:after="0" w:line="240" w:lineRule="auto"/>
              <w:jc w:val="center"/>
              <w:rPr>
                <w:rFonts w:ascii="Calibri" w:eastAsia="Times New Roman" w:hAnsi="Calibri" w:cs="Times New Roman"/>
                <w:b/>
                <w:bCs/>
                <w:sz w:val="24"/>
                <w:szCs w:val="24"/>
                <w:lang w:eastAsia="cs-CZ"/>
              </w:rPr>
            </w:pPr>
            <w:r w:rsidRPr="001F038B">
              <w:rPr>
                <w:rFonts w:ascii="Calibri" w:eastAsia="Times New Roman" w:hAnsi="Calibri" w:cs="Times New Roman"/>
                <w:b/>
                <w:bCs/>
                <w:sz w:val="24"/>
                <w:szCs w:val="24"/>
                <w:lang w:eastAsia="cs-CZ"/>
              </w:rPr>
              <w:t>→</w:t>
            </w:r>
          </w:p>
        </w:tc>
        <w:tc>
          <w:tcPr>
            <w:tcW w:w="3260" w:type="dxa"/>
            <w:tcBorders>
              <w:top w:val="single" w:sz="4" w:space="0" w:color="FFFFFF"/>
              <w:left w:val="nil"/>
              <w:bottom w:val="single" w:sz="4" w:space="0" w:color="FFFFFF"/>
              <w:right w:val="single" w:sz="4" w:space="0" w:color="FFFFFF"/>
            </w:tcBorders>
            <w:shd w:val="clear" w:color="000000" w:fill="C4D79B"/>
            <w:vAlign w:val="center"/>
            <w:hideMark/>
          </w:tcPr>
          <w:p w:rsidR="00144A25" w:rsidRPr="001F038B" w:rsidRDefault="00144A25" w:rsidP="007D6B99">
            <w:pPr>
              <w:spacing w:after="0" w:line="240" w:lineRule="auto"/>
              <w:rPr>
                <w:rFonts w:ascii="Calibri" w:eastAsia="Times New Roman" w:hAnsi="Calibri" w:cs="Times New Roman"/>
                <w:b/>
                <w:bCs/>
                <w:sz w:val="16"/>
                <w:szCs w:val="16"/>
                <w:lang w:eastAsia="cs-CZ"/>
              </w:rPr>
            </w:pPr>
            <w:r w:rsidRPr="001F038B">
              <w:rPr>
                <w:rFonts w:ascii="Calibri" w:eastAsia="Times New Roman" w:hAnsi="Calibri" w:cs="Times New Roman"/>
                <w:b/>
                <w:bCs/>
                <w:sz w:val="16"/>
                <w:szCs w:val="16"/>
                <w:lang w:eastAsia="cs-CZ"/>
              </w:rPr>
              <w:t>6.5.1.A. Podpora komunitně vedeného místního rozvoje</w:t>
            </w: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6.5.2. Investice do územního plánování</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6.6.1. Zajištění kvalitního pokrytí území veřejnou dopravou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7.1.1. Podpora aktivit místních spolků</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7.2.1. Investice do turistické atraktivity regionu</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r w:rsidR="00144A25" w:rsidRPr="001F038B" w:rsidTr="007D6B99">
        <w:trPr>
          <w:trHeight w:val="300"/>
        </w:trPr>
        <w:tc>
          <w:tcPr>
            <w:tcW w:w="5520" w:type="dxa"/>
            <w:tcBorders>
              <w:top w:val="nil"/>
              <w:left w:val="nil"/>
              <w:bottom w:val="single" w:sz="4" w:space="0" w:color="FFFFFF"/>
              <w:right w:val="single" w:sz="4" w:space="0" w:color="FFFFFF"/>
            </w:tcBorders>
            <w:shd w:val="clear" w:color="000000" w:fill="A6A6A6"/>
            <w:vAlign w:val="center"/>
            <w:hideMark/>
          </w:tcPr>
          <w:p w:rsidR="00144A25" w:rsidRPr="001F038B" w:rsidRDefault="00144A25" w:rsidP="007D6B99">
            <w:pPr>
              <w:spacing w:after="0" w:line="240" w:lineRule="auto"/>
              <w:rPr>
                <w:rFonts w:ascii="Calibri" w:eastAsia="Times New Roman" w:hAnsi="Calibri" w:cs="Times New Roman"/>
                <w:b/>
                <w:bCs/>
                <w:color w:val="FFFFFF"/>
                <w:sz w:val="16"/>
                <w:szCs w:val="16"/>
                <w:lang w:eastAsia="cs-CZ"/>
              </w:rPr>
            </w:pPr>
            <w:r w:rsidRPr="001F038B">
              <w:rPr>
                <w:rFonts w:ascii="Calibri" w:eastAsia="Times New Roman" w:hAnsi="Calibri" w:cs="Times New Roman"/>
                <w:b/>
                <w:bCs/>
                <w:color w:val="FFFFFF"/>
                <w:sz w:val="16"/>
                <w:szCs w:val="16"/>
                <w:lang w:eastAsia="cs-CZ"/>
              </w:rPr>
              <w:t xml:space="preserve"> 7.3.1. Podpora konání akcí pro veřejnost</w:t>
            </w:r>
          </w:p>
        </w:tc>
        <w:tc>
          <w:tcPr>
            <w:tcW w:w="5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c>
          <w:tcPr>
            <w:tcW w:w="326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Times New Roman"/>
                <w:color w:val="000000"/>
                <w:lang w:eastAsia="cs-CZ"/>
              </w:rPr>
            </w:pPr>
          </w:p>
        </w:tc>
      </w:tr>
    </w:tbl>
    <w:p w:rsidR="00144A25" w:rsidRPr="001F038B" w:rsidRDefault="00144A25" w:rsidP="00144A25"/>
    <w:p w:rsidR="00144A25" w:rsidRPr="001F038B" w:rsidRDefault="00144A25" w:rsidP="00144A25">
      <w:r w:rsidRPr="001F038B">
        <w:br w:type="page"/>
      </w:r>
    </w:p>
    <w:tbl>
      <w:tblPr>
        <w:tblW w:w="9340" w:type="dxa"/>
        <w:tblCellMar>
          <w:left w:w="0" w:type="dxa"/>
          <w:right w:w="0" w:type="dxa"/>
        </w:tblCellMar>
        <w:tblLook w:val="04A0" w:firstRow="1" w:lastRow="0" w:firstColumn="1" w:lastColumn="0" w:noHBand="0" w:noVBand="1"/>
      </w:tblPr>
      <w:tblGrid>
        <w:gridCol w:w="5460"/>
        <w:gridCol w:w="460"/>
        <w:gridCol w:w="3420"/>
      </w:tblGrid>
      <w:tr w:rsidR="00144A25" w:rsidRPr="001F038B" w:rsidTr="007D6B99">
        <w:trPr>
          <w:trHeight w:val="420"/>
        </w:trPr>
        <w:tc>
          <w:tcPr>
            <w:tcW w:w="5460" w:type="dxa"/>
            <w:tcBorders>
              <w:top w:val="nil"/>
              <w:left w:val="nil"/>
              <w:bottom w:val="nil"/>
              <w:right w:val="nil"/>
            </w:tcBorders>
            <w:shd w:val="clear" w:color="auto" w:fill="auto"/>
            <w:tcMar>
              <w:top w:w="15" w:type="dxa"/>
              <w:left w:w="15" w:type="dxa"/>
              <w:bottom w:w="0" w:type="dxa"/>
              <w:right w:w="15" w:type="dxa"/>
            </w:tcMar>
            <w:vAlign w:val="center"/>
            <w:hideMark/>
          </w:tcPr>
          <w:p w:rsidR="00144A25" w:rsidRPr="001F038B" w:rsidRDefault="00144A25" w:rsidP="007D6B99">
            <w:pPr>
              <w:jc w:val="center"/>
              <w:rPr>
                <w:rFonts w:ascii="Calibri" w:hAnsi="Calibri"/>
                <w:b/>
                <w:bCs/>
                <w:color w:val="000000"/>
                <w:sz w:val="16"/>
                <w:szCs w:val="16"/>
              </w:rPr>
            </w:pPr>
            <w:r w:rsidRPr="001F038B">
              <w:rPr>
                <w:rFonts w:ascii="Calibri" w:hAnsi="Calibri"/>
                <w:b/>
                <w:bCs/>
                <w:color w:val="000000"/>
                <w:sz w:val="16"/>
                <w:szCs w:val="16"/>
              </w:rPr>
              <w:t>Opatření SCLLD MAS Rokytná mimo programové rámce</w:t>
            </w:r>
          </w:p>
        </w:tc>
        <w:tc>
          <w:tcPr>
            <w:tcW w:w="460" w:type="dxa"/>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3420" w:type="dxa"/>
            <w:tcBorders>
              <w:top w:val="nil"/>
              <w:left w:val="nil"/>
              <w:bottom w:val="nil"/>
              <w:right w:val="nil"/>
            </w:tcBorders>
            <w:shd w:val="clear" w:color="auto" w:fill="auto"/>
            <w:tcMar>
              <w:top w:w="15" w:type="dxa"/>
              <w:left w:w="15" w:type="dxa"/>
              <w:bottom w:w="0" w:type="dxa"/>
              <w:right w:w="15" w:type="dxa"/>
            </w:tcMar>
            <w:vAlign w:val="center"/>
            <w:hideMark/>
          </w:tcPr>
          <w:p w:rsidR="00144A25" w:rsidRPr="001F038B" w:rsidRDefault="00144A25" w:rsidP="007D6B99">
            <w:pPr>
              <w:jc w:val="center"/>
              <w:rPr>
                <w:rFonts w:ascii="Calibri" w:hAnsi="Calibri"/>
                <w:b/>
                <w:bCs/>
                <w:color w:val="000000"/>
                <w:sz w:val="16"/>
                <w:szCs w:val="16"/>
              </w:rPr>
            </w:pPr>
            <w:r w:rsidRPr="001F038B">
              <w:rPr>
                <w:rFonts w:ascii="Calibri" w:hAnsi="Calibri"/>
                <w:b/>
                <w:bCs/>
                <w:color w:val="000000"/>
                <w:sz w:val="16"/>
                <w:szCs w:val="16"/>
              </w:rPr>
              <w:t>Opatření programového rámce OPZ MAS  Rokytná</w:t>
            </w:r>
          </w:p>
        </w:tc>
      </w:tr>
      <w:tr w:rsidR="00144A25" w:rsidRPr="001F038B" w:rsidTr="007D6B99">
        <w:trPr>
          <w:trHeight w:val="300"/>
        </w:trPr>
        <w:tc>
          <w:tcPr>
            <w:tcW w:w="5460" w:type="dxa"/>
            <w:tcBorders>
              <w:top w:val="single" w:sz="4" w:space="0" w:color="FFFFFF"/>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1.1.1. Investice do pitné vody a čištění odpadních vod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1.2.1. Modernizace základních veřejných sítí a technologií pro veřejnou správu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1.2.2. Investice do akceschopnosti složek IZS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1.3.1. Investice do přípravy pozemků pro stavební využití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2.1.1. Zkapacitnění a modernizace silnice I/38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2.2.1. Investice do silniční sítě regionu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2.3.1. Zlepšování bezpečnosti silnic a budování chodníků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2.4.1. Podpora udržitelnosti nemotorové a veřejné dopravy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3.1.1. Investice do zateplování a efektivních zdrojů vytápění veřejných budov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3.2.1. Investice do zateplování a efektivních zdrojů vytápění soukromých budov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3.3.1. Investice do sportovišť a dalšího zázemí pro volný čas spolkovou činnost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3.4.1. Investice do revitalizace hmotných památek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3.5.1. Revitalizace veřejných prostranství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4.1.1. Zvyšování zaměstnanosti prostřednictvím investic do lidských zdrojů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4.2.1. Veřejná podpora podmínek pro nárůst zaměstnanosti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44A25" w:rsidRPr="001F038B" w:rsidRDefault="00144A25" w:rsidP="007D6B99">
            <w:pPr>
              <w:jc w:val="center"/>
              <w:rPr>
                <w:rFonts w:ascii="Calibri" w:hAnsi="Calibri"/>
                <w:b/>
                <w:bCs/>
                <w:sz w:val="24"/>
                <w:szCs w:val="24"/>
              </w:rPr>
            </w:pPr>
            <w:r w:rsidRPr="001F038B">
              <w:rPr>
                <w:rFonts w:ascii="Calibri" w:hAnsi="Calibri"/>
                <w:b/>
                <w:bCs/>
              </w:rPr>
              <w:t>→</w:t>
            </w:r>
          </w:p>
        </w:tc>
        <w:tc>
          <w:tcPr>
            <w:tcW w:w="3420" w:type="dxa"/>
            <w:tcBorders>
              <w:top w:val="single" w:sz="4" w:space="0" w:color="FFFFFF"/>
              <w:left w:val="nil"/>
              <w:bottom w:val="single" w:sz="4" w:space="0" w:color="FFFFFF"/>
              <w:right w:val="single" w:sz="4" w:space="0" w:color="FFFFFF"/>
            </w:tcBorders>
            <w:shd w:val="clear" w:color="000000" w:fill="8DB4E2"/>
            <w:tcMar>
              <w:top w:w="15" w:type="dxa"/>
              <w:left w:w="15" w:type="dxa"/>
              <w:bottom w:w="0" w:type="dxa"/>
              <w:right w:w="15" w:type="dxa"/>
            </w:tcMar>
            <w:vAlign w:val="center"/>
            <w:hideMark/>
          </w:tcPr>
          <w:p w:rsidR="00144A25" w:rsidRPr="001F038B" w:rsidRDefault="00144A25" w:rsidP="007D6B99">
            <w:pPr>
              <w:rPr>
                <w:rFonts w:ascii="Calibri" w:hAnsi="Calibri"/>
                <w:b/>
                <w:bCs/>
                <w:sz w:val="16"/>
                <w:szCs w:val="16"/>
              </w:rPr>
            </w:pPr>
            <w:r w:rsidRPr="001F038B">
              <w:rPr>
                <w:rFonts w:ascii="Calibri" w:hAnsi="Calibri"/>
                <w:b/>
                <w:bCs/>
                <w:sz w:val="16"/>
                <w:szCs w:val="16"/>
              </w:rPr>
              <w:t>4.2.1.A. Veřejná podpora pro nárůst zaměstnanosti</w:t>
            </w:r>
          </w:p>
        </w:tc>
      </w:tr>
      <w:tr w:rsidR="00144A25" w:rsidRPr="001F038B" w:rsidTr="007D6B99">
        <w:trPr>
          <w:trHeight w:val="315"/>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4.2.2. Podpora pro-rodinných opatření</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44A25" w:rsidRPr="001F038B" w:rsidRDefault="00144A25" w:rsidP="007D6B99">
            <w:pPr>
              <w:jc w:val="center"/>
              <w:rPr>
                <w:rFonts w:ascii="Calibri" w:hAnsi="Calibri"/>
                <w:b/>
                <w:bCs/>
                <w:sz w:val="24"/>
                <w:szCs w:val="24"/>
              </w:rPr>
            </w:pPr>
            <w:r w:rsidRPr="001F038B">
              <w:rPr>
                <w:rFonts w:ascii="Calibri" w:hAnsi="Calibri"/>
                <w:b/>
                <w:bCs/>
              </w:rPr>
              <w:t>→</w:t>
            </w:r>
          </w:p>
        </w:tc>
        <w:tc>
          <w:tcPr>
            <w:tcW w:w="3420" w:type="dxa"/>
            <w:tcBorders>
              <w:top w:val="nil"/>
              <w:left w:val="nil"/>
              <w:bottom w:val="single" w:sz="4" w:space="0" w:color="FFFFFF"/>
              <w:right w:val="single" w:sz="4" w:space="0" w:color="FFFFFF"/>
            </w:tcBorders>
            <w:shd w:val="clear" w:color="000000" w:fill="8DB4E2"/>
            <w:tcMar>
              <w:top w:w="15" w:type="dxa"/>
              <w:left w:w="15" w:type="dxa"/>
              <w:bottom w:w="0" w:type="dxa"/>
              <w:right w:w="15" w:type="dxa"/>
            </w:tcMar>
            <w:vAlign w:val="center"/>
            <w:hideMark/>
          </w:tcPr>
          <w:p w:rsidR="00144A25" w:rsidRPr="001F038B" w:rsidRDefault="00144A25" w:rsidP="007D6B99">
            <w:pPr>
              <w:rPr>
                <w:rFonts w:ascii="Calibri" w:hAnsi="Calibri"/>
                <w:b/>
                <w:bCs/>
                <w:sz w:val="16"/>
                <w:szCs w:val="16"/>
              </w:rPr>
            </w:pPr>
            <w:r w:rsidRPr="001F038B">
              <w:rPr>
                <w:rFonts w:ascii="Calibri" w:hAnsi="Calibri"/>
                <w:b/>
                <w:bCs/>
                <w:sz w:val="16"/>
                <w:szCs w:val="16"/>
              </w:rPr>
              <w:t>4.2.2.A. Podpora pro-rodinných opatření</w:t>
            </w: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4.3.1. Zvyšování konkurenceschopnosti nezemědělských podnikatelů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4.3.2. Investice do znalostní ekonomiky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4.4.1. Investice do nabídky v oblasti cestovního ruchu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4.5.1. Podpora zázemí sociálních podniků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4.5.2. Podpora činností vedoucích k rozvoji sociálních podniků</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44A25" w:rsidRPr="001F038B" w:rsidRDefault="00144A25" w:rsidP="007D6B99">
            <w:pPr>
              <w:jc w:val="center"/>
              <w:rPr>
                <w:rFonts w:ascii="Calibri" w:hAnsi="Calibri"/>
                <w:b/>
                <w:bCs/>
                <w:sz w:val="24"/>
                <w:szCs w:val="24"/>
              </w:rPr>
            </w:pPr>
            <w:r w:rsidRPr="001F038B">
              <w:rPr>
                <w:rFonts w:ascii="Calibri" w:hAnsi="Calibri"/>
                <w:b/>
                <w:bCs/>
              </w:rPr>
              <w:t>→</w:t>
            </w:r>
          </w:p>
        </w:tc>
        <w:tc>
          <w:tcPr>
            <w:tcW w:w="3420" w:type="dxa"/>
            <w:tcBorders>
              <w:top w:val="single" w:sz="4" w:space="0" w:color="FFFFFF"/>
              <w:left w:val="nil"/>
              <w:bottom w:val="single" w:sz="4" w:space="0" w:color="FFFFFF"/>
              <w:right w:val="single" w:sz="4" w:space="0" w:color="FFFFFF"/>
            </w:tcBorders>
            <w:shd w:val="clear" w:color="000000" w:fill="8DB4E2"/>
            <w:tcMar>
              <w:top w:w="15" w:type="dxa"/>
              <w:left w:w="15" w:type="dxa"/>
              <w:bottom w:w="0" w:type="dxa"/>
              <w:right w:w="15" w:type="dxa"/>
            </w:tcMar>
            <w:vAlign w:val="center"/>
            <w:hideMark/>
          </w:tcPr>
          <w:p w:rsidR="00144A25" w:rsidRPr="001F038B" w:rsidRDefault="00144A25" w:rsidP="007D6B99">
            <w:pPr>
              <w:rPr>
                <w:rFonts w:ascii="Calibri" w:hAnsi="Calibri"/>
                <w:b/>
                <w:bCs/>
                <w:sz w:val="16"/>
                <w:szCs w:val="16"/>
              </w:rPr>
            </w:pPr>
            <w:r w:rsidRPr="001F038B">
              <w:rPr>
                <w:rFonts w:ascii="Calibri" w:hAnsi="Calibri"/>
                <w:b/>
                <w:bCs/>
                <w:sz w:val="16"/>
                <w:szCs w:val="16"/>
              </w:rPr>
              <w:t>4.5.2.A. Podpora činností vedoucích k rozvoji sociálních podniků</w:t>
            </w: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4.5.3. Zvyšování dopadu činnosti místních neziskových organizací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4.5.6. Podpora inovativních metod spolupráce v zemědělství, lesnictví a potravinářství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4.6.1. Podpora konkurenceschopnosti místních zemědělců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2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4.6.2. Podpora konkurenceschopnosti lesního hospodářství a lesnických produktů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4.6.3. Podpora konkurenceschopnosti zpracování zemědělských produktů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4.6.4. Zlepšování lesnické infrastruktury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4.6.5. Zlepšování zemědělské infrastruktury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5.1.1. Investice do ochrany životního prostředí a prostupnosti krajiny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5.1.2. Podpora rekreačních funkcí lesa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5.2.1. Zlepšování vodního režimu v zemědělské krajině a v intravilánu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5.2.2. Zlepšování vodního režimu v lesích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5.3.1. Podpora hospodárného nakládání s odpady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6.1.1. Investice do kapacit a kvality škol a školek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6.2.1. Podpora modernizace a dostupnosti zdravotní péče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6.3.1. Investice do infrastruktury pro služby vedoucí k sociální inkluzi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45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6.3.2. Podpora poskytování sociálních a inkluzivních služeb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44A25" w:rsidRPr="001F038B" w:rsidRDefault="00144A25" w:rsidP="007D6B99">
            <w:pPr>
              <w:jc w:val="center"/>
              <w:rPr>
                <w:rFonts w:ascii="Calibri" w:hAnsi="Calibri"/>
                <w:b/>
                <w:bCs/>
                <w:sz w:val="24"/>
                <w:szCs w:val="24"/>
              </w:rPr>
            </w:pPr>
            <w:r w:rsidRPr="001F038B">
              <w:rPr>
                <w:rFonts w:ascii="Calibri" w:hAnsi="Calibri"/>
                <w:b/>
                <w:bCs/>
              </w:rPr>
              <w:t>→</w:t>
            </w:r>
          </w:p>
        </w:tc>
        <w:tc>
          <w:tcPr>
            <w:tcW w:w="3420" w:type="dxa"/>
            <w:tcBorders>
              <w:top w:val="single" w:sz="4" w:space="0" w:color="FFFFFF"/>
              <w:left w:val="nil"/>
              <w:bottom w:val="single" w:sz="4" w:space="0" w:color="FFFFFF"/>
              <w:right w:val="single" w:sz="4" w:space="0" w:color="FFFFFF"/>
            </w:tcBorders>
            <w:shd w:val="clear" w:color="000000" w:fill="8DB4E2"/>
            <w:tcMar>
              <w:top w:w="15" w:type="dxa"/>
              <w:left w:w="15" w:type="dxa"/>
              <w:bottom w:w="0" w:type="dxa"/>
              <w:right w:w="15" w:type="dxa"/>
            </w:tcMar>
            <w:vAlign w:val="center"/>
            <w:hideMark/>
          </w:tcPr>
          <w:p w:rsidR="00144A25" w:rsidRPr="001F038B" w:rsidRDefault="00144A25" w:rsidP="007D6B99">
            <w:pPr>
              <w:rPr>
                <w:rFonts w:ascii="Calibri" w:hAnsi="Calibri"/>
                <w:b/>
                <w:bCs/>
                <w:sz w:val="16"/>
                <w:szCs w:val="16"/>
              </w:rPr>
            </w:pPr>
            <w:r w:rsidRPr="001F038B">
              <w:rPr>
                <w:rFonts w:ascii="Calibri" w:hAnsi="Calibri"/>
                <w:b/>
                <w:bCs/>
                <w:sz w:val="16"/>
                <w:szCs w:val="16"/>
              </w:rPr>
              <w:t>6.3.2.A. Podpora poskytování sociálních a inkluzivních služeb</w:t>
            </w: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6.4.1. Zkvalitňování služeb pro občany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6.4.2. Snižování administrativní zátěže pro obce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6.5.1. Podpora komunitně vedeného místního rozvoje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6.5.2. Investice do územního plánování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6.6.1. Zajištění kvalitního pokrytí území veřejnou dopravou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7.1.1. Podpora aktivit místních spolků</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7.2.1. Investice do turistické atraktivity regionu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r w:rsidR="00144A25" w:rsidRPr="001F038B" w:rsidTr="007D6B99">
        <w:trPr>
          <w:trHeight w:val="300"/>
        </w:trPr>
        <w:tc>
          <w:tcPr>
            <w:tcW w:w="5460" w:type="dxa"/>
            <w:tcBorders>
              <w:top w:val="nil"/>
              <w:left w:val="nil"/>
              <w:bottom w:val="single" w:sz="4" w:space="0" w:color="FFFFFF"/>
              <w:right w:val="single" w:sz="4" w:space="0" w:color="FFFFFF"/>
            </w:tcBorders>
            <w:shd w:val="clear" w:color="000000" w:fill="A6A6A6"/>
            <w:tcMar>
              <w:top w:w="15" w:type="dxa"/>
              <w:left w:w="15" w:type="dxa"/>
              <w:bottom w:w="0" w:type="dxa"/>
              <w:right w:w="15" w:type="dxa"/>
            </w:tcMar>
            <w:vAlign w:val="center"/>
            <w:hideMark/>
          </w:tcPr>
          <w:p w:rsidR="00144A25" w:rsidRPr="001F038B" w:rsidRDefault="00144A25" w:rsidP="007D6B99">
            <w:pPr>
              <w:rPr>
                <w:rFonts w:ascii="Calibri" w:hAnsi="Calibri"/>
                <w:b/>
                <w:bCs/>
                <w:color w:val="FFFFFF"/>
                <w:sz w:val="16"/>
                <w:szCs w:val="16"/>
              </w:rPr>
            </w:pPr>
            <w:r w:rsidRPr="001F038B">
              <w:rPr>
                <w:rFonts w:ascii="Calibri" w:hAnsi="Calibri"/>
                <w:b/>
                <w:bCs/>
                <w:color w:val="FFFFFF"/>
                <w:sz w:val="16"/>
                <w:szCs w:val="16"/>
              </w:rPr>
              <w:t xml:space="preserve"> 7.3.1. Podpora konání akcí pro veřejnost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44A25" w:rsidRPr="001F038B" w:rsidRDefault="00144A25" w:rsidP="007D6B99">
            <w:pPr>
              <w:rPr>
                <w:rFonts w:ascii="Calibri" w:hAnsi="Calibri"/>
                <w:color w:val="000000"/>
              </w:rPr>
            </w:pPr>
          </w:p>
        </w:tc>
      </w:tr>
    </w:tbl>
    <w:p w:rsidR="00144A25" w:rsidRDefault="00144A25" w:rsidP="00144A25">
      <w:r w:rsidRPr="001F038B">
        <w:t xml:space="preserve"> </w:t>
      </w:r>
      <w:r w:rsidRPr="001F038B">
        <w:br w:type="page"/>
      </w:r>
    </w:p>
    <w:tbl>
      <w:tblPr>
        <w:tblW w:w="9060" w:type="dxa"/>
        <w:tblInd w:w="55" w:type="dxa"/>
        <w:tblCellMar>
          <w:left w:w="70" w:type="dxa"/>
          <w:right w:w="70" w:type="dxa"/>
        </w:tblCellMar>
        <w:tblLook w:val="04A0" w:firstRow="1" w:lastRow="0" w:firstColumn="1" w:lastColumn="0" w:noHBand="0" w:noVBand="1"/>
      </w:tblPr>
      <w:tblGrid>
        <w:gridCol w:w="4600"/>
        <w:gridCol w:w="540"/>
        <w:gridCol w:w="3920"/>
      </w:tblGrid>
      <w:tr w:rsidR="00144A25" w:rsidRPr="00F23171" w:rsidTr="007D6B99">
        <w:trPr>
          <w:trHeight w:val="360"/>
        </w:trPr>
        <w:tc>
          <w:tcPr>
            <w:tcW w:w="4600" w:type="dxa"/>
            <w:tcBorders>
              <w:top w:val="nil"/>
              <w:left w:val="nil"/>
              <w:bottom w:val="nil"/>
              <w:right w:val="nil"/>
            </w:tcBorders>
            <w:shd w:val="clear" w:color="auto" w:fill="auto"/>
            <w:vAlign w:val="bottom"/>
            <w:hideMark/>
          </w:tcPr>
          <w:p w:rsidR="00144A25" w:rsidRPr="00F23171" w:rsidRDefault="00144A25" w:rsidP="007D6B99">
            <w:pPr>
              <w:spacing w:after="0" w:line="240" w:lineRule="auto"/>
              <w:rPr>
                <w:rFonts w:ascii="Calibri" w:eastAsia="Times New Roman" w:hAnsi="Calibri" w:cs="Calibri"/>
                <w:b/>
                <w:bCs/>
                <w:color w:val="000000"/>
                <w:sz w:val="18"/>
                <w:szCs w:val="18"/>
                <w:lang w:eastAsia="cs-CZ"/>
              </w:rPr>
            </w:pPr>
            <w:r w:rsidRPr="00F23171">
              <w:rPr>
                <w:rFonts w:ascii="Calibri" w:eastAsia="Times New Roman" w:hAnsi="Calibri" w:cs="Calibri"/>
                <w:b/>
                <w:bCs/>
                <w:color w:val="000000"/>
                <w:sz w:val="18"/>
                <w:szCs w:val="18"/>
                <w:lang w:eastAsia="cs-CZ"/>
              </w:rPr>
              <w:t>Opatření SCLLD MAS Rokytná mimo programové rámce</w:t>
            </w:r>
          </w:p>
        </w:tc>
        <w:tc>
          <w:tcPr>
            <w:tcW w:w="540" w:type="dxa"/>
            <w:tcBorders>
              <w:top w:val="nil"/>
              <w:left w:val="nil"/>
              <w:bottom w:val="nil"/>
              <w:right w:val="nil"/>
            </w:tcBorders>
            <w:shd w:val="clear" w:color="auto" w:fill="auto"/>
            <w:vAlign w:val="center"/>
            <w:hideMark/>
          </w:tcPr>
          <w:p w:rsidR="00144A25" w:rsidRPr="00F23171" w:rsidRDefault="00144A25" w:rsidP="007D6B99">
            <w:pPr>
              <w:spacing w:after="0" w:line="240" w:lineRule="auto"/>
              <w:rPr>
                <w:rFonts w:ascii="Calibri" w:eastAsia="Times New Roman" w:hAnsi="Calibri" w:cs="Calibri"/>
                <w:b/>
                <w:bCs/>
                <w:color w:val="000000"/>
                <w:sz w:val="18"/>
                <w:szCs w:val="18"/>
                <w:lang w:eastAsia="cs-CZ"/>
              </w:rPr>
            </w:pPr>
          </w:p>
        </w:tc>
        <w:tc>
          <w:tcPr>
            <w:tcW w:w="3920" w:type="dxa"/>
            <w:tcBorders>
              <w:top w:val="nil"/>
              <w:left w:val="nil"/>
              <w:bottom w:val="nil"/>
              <w:right w:val="nil"/>
            </w:tcBorders>
            <w:shd w:val="clear" w:color="auto" w:fill="auto"/>
            <w:vAlign w:val="bottom"/>
            <w:hideMark/>
          </w:tcPr>
          <w:p w:rsidR="00144A25" w:rsidRPr="00F23171" w:rsidRDefault="00144A25" w:rsidP="007D6B99">
            <w:pPr>
              <w:spacing w:after="0" w:line="240" w:lineRule="auto"/>
              <w:rPr>
                <w:rFonts w:ascii="Calibri" w:eastAsia="Times New Roman" w:hAnsi="Calibri" w:cs="Calibri"/>
                <w:b/>
                <w:bCs/>
                <w:color w:val="000000"/>
                <w:sz w:val="18"/>
                <w:szCs w:val="18"/>
                <w:lang w:eastAsia="cs-CZ"/>
              </w:rPr>
            </w:pPr>
            <w:r w:rsidRPr="00D835D2">
              <w:rPr>
                <w:rFonts w:ascii="Calibri" w:eastAsia="Times New Roman" w:hAnsi="Calibri" w:cs="Calibri"/>
                <w:b/>
                <w:bCs/>
                <w:color w:val="000000"/>
                <w:sz w:val="18"/>
                <w:szCs w:val="18"/>
                <w:highlight w:val="yellow"/>
                <w:lang w:eastAsia="cs-CZ"/>
              </w:rPr>
              <w:t>Opatření programového rámce OP ŽP MAS  Rokytná</w:t>
            </w:r>
          </w:p>
        </w:tc>
      </w:tr>
      <w:tr w:rsidR="00144A25" w:rsidRPr="00F23171" w:rsidTr="007D6B99">
        <w:trPr>
          <w:trHeight w:val="315"/>
        </w:trPr>
        <w:tc>
          <w:tcPr>
            <w:tcW w:w="4600" w:type="dxa"/>
            <w:tcBorders>
              <w:top w:val="single" w:sz="8" w:space="0" w:color="FFFFFF"/>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1.1.1. Investice do pitné vody a čištění odpadních vod</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46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1.2.1. Modernizace základních veřejných sítí a technologií pro veřejnou správu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1.2.2. Investice do akceschopnosti složek IZS</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1.3.1. Investice do přípravy pozemků pro stavební využití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2.1.1. Zkapacitnění a modernizace silnice I/38</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2.2.1. Investice do silniční sítě regionu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2.3.1. Zlepšování bezpečnosti silnic a budování chodníků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2.4.1. Podpora udržitelnosti nemotorové a veřejné dopravy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4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3.1.1. Investice do zateplování a efektivních zdrojů vytápění veřejných budov</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7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3.2.1. Investice do zateplování a efektivních zdrojů vytápění soukromých budov</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2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3.3.1. Investice do sportovišť a dalšího zázemí pro volný čas spolkovou činnost</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3.4.1. Investice do revitalizace hmotných památek</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40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3.5.1. Revitalizace veřejných prostranství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jc w:val="center"/>
              <w:rPr>
                <w:rFonts w:ascii="Calibri" w:eastAsia="Times New Roman" w:hAnsi="Calibri" w:cs="Calibri"/>
                <w:color w:val="000000"/>
                <w:lang w:eastAsia="cs-CZ"/>
              </w:rPr>
            </w:pPr>
            <w:r w:rsidRPr="00F23171">
              <w:rPr>
                <w:rFonts w:ascii="Calibri" w:eastAsia="Times New Roman" w:hAnsi="Calibri" w:cs="Calibri"/>
                <w:color w:val="000000"/>
                <w:lang w:eastAsia="cs-CZ"/>
              </w:rPr>
              <w:t>→</w:t>
            </w:r>
          </w:p>
        </w:tc>
        <w:tc>
          <w:tcPr>
            <w:tcW w:w="3920" w:type="dxa"/>
            <w:tcBorders>
              <w:top w:val="nil"/>
              <w:left w:val="nil"/>
              <w:bottom w:val="single" w:sz="8" w:space="0" w:color="FFFFFF"/>
              <w:right w:val="single" w:sz="8" w:space="0" w:color="FFFFFF"/>
            </w:tcBorders>
            <w:shd w:val="clear" w:color="000000" w:fill="C00000"/>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3.5.1.A. Revitalizace veřejných prostranství</w:t>
            </w:r>
          </w:p>
        </w:tc>
      </w:tr>
      <w:tr w:rsidR="00144A25" w:rsidRPr="00F23171" w:rsidTr="007D6B99">
        <w:trPr>
          <w:trHeight w:val="54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4.1.1. Zvyšování zaměstnanosti prostřednictvím investic do lidských zdrojů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4.2.1. Veřejná podpora podmínek pro nárůst zaměstnanosti</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4.2.2. Podpora pro-rodinných opatření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4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4.3.1. Zvyšování konkurenceschopnosti nezemědělských podnikatelů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4.3.2. Investice do znalostní ekonomiky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4.4.1. Investice do nabídky v oblasti cestovního ruchu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4.5.1. Podpora zázemí sociálních podniků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4.5.2. Podpora činností vedoucích k rozvoji sociálních podniků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46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4.5.3. Zvyšování dopadu činnosti místních neziskových organizací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46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4.5.6. Podpora inovativních metod spolupráce v zemědělství, lesnictví a potravinářství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4.6.1. Podpora konkurenceschopnosti místních zemědělců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8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4.6.2. Podpora konkurenceschopnosti lesního hospodářství a lesnických produktů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2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4.6.3. Podpora konkurenceschopnosti zpracování zemědělských produktů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4.6.4. Zlepšování lesnické infrastruktury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4.6.5. Zlepšování zemědělské infrastruktury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4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5.1.1. Investice do ochrany životního prostředí a prostupnosti krajiny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jc w:val="center"/>
              <w:rPr>
                <w:rFonts w:ascii="Calibri" w:eastAsia="Times New Roman" w:hAnsi="Calibri" w:cs="Calibri"/>
                <w:color w:val="000000"/>
                <w:lang w:eastAsia="cs-CZ"/>
              </w:rPr>
            </w:pPr>
            <w:r w:rsidRPr="00F23171">
              <w:rPr>
                <w:rFonts w:ascii="Calibri" w:eastAsia="Times New Roman" w:hAnsi="Calibri" w:cs="Calibri"/>
                <w:color w:val="000000"/>
                <w:lang w:eastAsia="cs-CZ"/>
              </w:rPr>
              <w:t>→</w:t>
            </w:r>
          </w:p>
        </w:tc>
        <w:tc>
          <w:tcPr>
            <w:tcW w:w="3920" w:type="dxa"/>
            <w:tcBorders>
              <w:top w:val="nil"/>
              <w:left w:val="nil"/>
              <w:bottom w:val="single" w:sz="8" w:space="0" w:color="FFFFFF"/>
              <w:right w:val="single" w:sz="8" w:space="0" w:color="FFFFFF"/>
            </w:tcBorders>
            <w:shd w:val="clear" w:color="000000" w:fill="C00000"/>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5.1.1.A. Investice do ochrany životního prostředí a prostupnosti krajiny</w:t>
            </w: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5.1.2. Podpora rekreačních funkcí lesa</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51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5.2.1. Zlepšování vodního režimu v zemědělské krajině a v intravilánu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jc w:val="center"/>
              <w:rPr>
                <w:rFonts w:ascii="Calibri" w:eastAsia="Times New Roman" w:hAnsi="Calibri" w:cs="Calibri"/>
                <w:color w:val="000000"/>
                <w:lang w:eastAsia="cs-CZ"/>
              </w:rPr>
            </w:pPr>
            <w:r w:rsidRPr="00F23171">
              <w:rPr>
                <w:rFonts w:ascii="Calibri" w:eastAsia="Times New Roman" w:hAnsi="Calibri" w:cs="Calibri"/>
                <w:color w:val="000000"/>
                <w:lang w:eastAsia="cs-CZ"/>
              </w:rPr>
              <w:t>→</w:t>
            </w:r>
          </w:p>
        </w:tc>
        <w:tc>
          <w:tcPr>
            <w:tcW w:w="3920" w:type="dxa"/>
            <w:tcBorders>
              <w:top w:val="nil"/>
              <w:left w:val="nil"/>
              <w:bottom w:val="single" w:sz="8" w:space="0" w:color="FFFFFF"/>
              <w:right w:val="single" w:sz="8" w:space="0" w:color="FFFFFF"/>
            </w:tcBorders>
            <w:shd w:val="clear" w:color="000000" w:fill="C00000"/>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5.2.1.A. Zlepšování vodního režimu v zemědělské krajině a v intravilánu</w:t>
            </w: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5.2.2. Zlepšování vodního režimu v lesích</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5.3.1. Podpora hospodárného nakládání s odpady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6.1.1. Investice do kapacit a kvality škol a školek</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6.2.1. Podpora modernizace a dostupnosti zdravotní péče</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480"/>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6.3.1. Investice do infrastruktury pro služby vedoucí k sociální inkluzi</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6.3.2. Podpora poskytování sociálních a inkluzivních služeb</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6.4.1. Zkvalitňování služeb pro občany</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6.4.2. Snižování administrativní zátěže pro obce</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6.5.1. Podpora komunitně vedeného místního rozvoje</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6.5.2. Investice do územního plánování</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6.6.1. Zajištění kvalitního pokrytí území veřejnou dopravou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7.1.1. Podpora aktivit místních spolků</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7.2.1. Investice do turistické atraktivity regionu</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r w:rsidR="00144A25" w:rsidRPr="00F23171" w:rsidTr="007D6B99">
        <w:trPr>
          <w:trHeight w:val="315"/>
        </w:trPr>
        <w:tc>
          <w:tcPr>
            <w:tcW w:w="4600" w:type="dxa"/>
            <w:tcBorders>
              <w:top w:val="nil"/>
              <w:left w:val="nil"/>
              <w:bottom w:val="single" w:sz="8" w:space="0" w:color="FFFFFF"/>
              <w:right w:val="single" w:sz="8" w:space="0" w:color="FFFFFF"/>
            </w:tcBorders>
            <w:shd w:val="clear" w:color="000000" w:fill="A6A6A6"/>
            <w:vAlign w:val="center"/>
            <w:hideMark/>
          </w:tcPr>
          <w:p w:rsidR="00144A25" w:rsidRPr="00F23171" w:rsidRDefault="00144A25" w:rsidP="007D6B99">
            <w:pPr>
              <w:spacing w:after="0" w:line="240" w:lineRule="auto"/>
              <w:rPr>
                <w:rFonts w:ascii="Calibri" w:eastAsia="Times New Roman" w:hAnsi="Calibri" w:cs="Calibri"/>
                <w:b/>
                <w:bCs/>
                <w:color w:val="FFFFFF"/>
                <w:sz w:val="16"/>
                <w:szCs w:val="16"/>
                <w:lang w:eastAsia="cs-CZ"/>
              </w:rPr>
            </w:pPr>
            <w:r w:rsidRPr="00F23171">
              <w:rPr>
                <w:rFonts w:ascii="Calibri" w:eastAsia="Times New Roman" w:hAnsi="Calibri" w:cs="Calibri"/>
                <w:b/>
                <w:bCs/>
                <w:color w:val="FFFFFF"/>
                <w:sz w:val="16"/>
                <w:szCs w:val="16"/>
                <w:lang w:eastAsia="cs-CZ"/>
              </w:rPr>
              <w:t xml:space="preserve"> 7.3.1. Podpora konání akcí pro veřejnost</w:t>
            </w:r>
          </w:p>
        </w:tc>
        <w:tc>
          <w:tcPr>
            <w:tcW w:w="540" w:type="dxa"/>
            <w:tcBorders>
              <w:top w:val="nil"/>
              <w:left w:val="nil"/>
              <w:bottom w:val="nil"/>
              <w:right w:val="nil"/>
            </w:tcBorders>
            <w:shd w:val="clear" w:color="auto" w:fill="auto"/>
            <w:noWrap/>
            <w:vAlign w:val="center"/>
            <w:hideMark/>
          </w:tcPr>
          <w:p w:rsidR="00144A25" w:rsidRPr="00F23171" w:rsidRDefault="00144A25" w:rsidP="007D6B99">
            <w:pPr>
              <w:spacing w:after="0" w:line="240" w:lineRule="auto"/>
              <w:rPr>
                <w:rFonts w:ascii="Calibri" w:eastAsia="Times New Roman" w:hAnsi="Calibri" w:cs="Calibri"/>
                <w:color w:val="000000"/>
                <w:lang w:eastAsia="cs-CZ"/>
              </w:rPr>
            </w:pPr>
          </w:p>
        </w:tc>
        <w:tc>
          <w:tcPr>
            <w:tcW w:w="3920" w:type="dxa"/>
            <w:tcBorders>
              <w:top w:val="nil"/>
              <w:left w:val="nil"/>
              <w:bottom w:val="nil"/>
              <w:right w:val="nil"/>
            </w:tcBorders>
            <w:shd w:val="clear" w:color="auto" w:fill="auto"/>
            <w:noWrap/>
            <w:vAlign w:val="bottom"/>
            <w:hideMark/>
          </w:tcPr>
          <w:p w:rsidR="00144A25" w:rsidRPr="00F23171" w:rsidRDefault="00144A25" w:rsidP="007D6B99">
            <w:pPr>
              <w:spacing w:after="0" w:line="240" w:lineRule="auto"/>
              <w:rPr>
                <w:rFonts w:ascii="Calibri" w:eastAsia="Times New Roman" w:hAnsi="Calibri" w:cs="Calibri"/>
                <w:color w:val="000000"/>
                <w:lang w:eastAsia="cs-CZ"/>
              </w:rPr>
            </w:pPr>
          </w:p>
        </w:tc>
      </w:tr>
    </w:tbl>
    <w:p w:rsidR="00144A25" w:rsidRDefault="00144A25" w:rsidP="00144A25"/>
    <w:p w:rsidR="00144A25" w:rsidRDefault="00144A25" w:rsidP="00144A25"/>
    <w:p w:rsidR="00144A25" w:rsidRPr="001F038B" w:rsidRDefault="00144A25" w:rsidP="00144A25">
      <w:pPr>
        <w:rPr>
          <w:rFonts w:eastAsiaTheme="majorEastAsia" w:cstheme="majorBidi"/>
          <w:b/>
          <w:bCs/>
          <w:color w:val="632423" w:themeColor="accent2" w:themeShade="80"/>
          <w:sz w:val="24"/>
        </w:rPr>
      </w:pPr>
    </w:p>
    <w:p w:rsidR="00144A25" w:rsidRDefault="00144A25" w:rsidP="00144A25">
      <w:pPr>
        <w:rPr>
          <w:rFonts w:eastAsiaTheme="majorEastAsia" w:cstheme="majorBidi"/>
          <w:b/>
          <w:bCs/>
          <w:color w:val="632423" w:themeColor="accent2" w:themeShade="80"/>
          <w:sz w:val="24"/>
          <w:szCs w:val="24"/>
        </w:rPr>
      </w:pPr>
      <w:bookmarkStart w:id="2" w:name="_Toc499475709"/>
      <w:r>
        <w:br w:type="page"/>
      </w:r>
    </w:p>
    <w:p w:rsidR="00144A25" w:rsidRPr="001F038B" w:rsidRDefault="00144A25" w:rsidP="00144A25">
      <w:pPr>
        <w:pStyle w:val="Nadpis3"/>
      </w:pPr>
      <w:r w:rsidRPr="001F038B">
        <w:t>Integrovaný přístup napříč programovými rámci</w:t>
      </w:r>
      <w:bookmarkEnd w:id="2"/>
    </w:p>
    <w:p w:rsidR="00144A25" w:rsidRPr="001F038B" w:rsidRDefault="00144A25" w:rsidP="00144A25">
      <w:r w:rsidRPr="001F038B">
        <w:t xml:space="preserve">Důležitým prvkem jednotlivých operačních programů a jejich specifických cílů, ze kterých vychází jednotlivá opatření SCLLD, je jejich </w:t>
      </w:r>
      <w:r w:rsidRPr="001F038B">
        <w:rPr>
          <w:b/>
        </w:rPr>
        <w:t>vzájemná provázanost</w:t>
      </w:r>
      <w:r w:rsidRPr="001F038B">
        <w:t xml:space="preserve">. V procesu tvorby této strategie bylo na všechny OP nahlíženo jako na </w:t>
      </w:r>
      <w:r w:rsidRPr="001F038B">
        <w:rPr>
          <w:b/>
        </w:rPr>
        <w:t>komplexní celek</w:t>
      </w:r>
      <w:r w:rsidRPr="001F038B">
        <w:t xml:space="preserve">. Pro představu o integraci cílů jednotlivých opatření byla vybrána ta opatření, kde bylo identifikováno nejvíce průmětů s těmi ostatními. </w:t>
      </w:r>
    </w:p>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1</w:t>
      </w:r>
      <w:r w:rsidRPr="0022472C">
        <w:rPr>
          <w:noProof/>
        </w:rPr>
        <w:fldChar w:fldCharType="end"/>
      </w:r>
    </w:p>
    <w:tbl>
      <w:tblPr>
        <w:tblW w:w="0" w:type="auto"/>
        <w:tblInd w:w="65" w:type="dxa"/>
        <w:tblLayout w:type="fixed"/>
        <w:tblCellMar>
          <w:left w:w="70" w:type="dxa"/>
          <w:right w:w="70" w:type="dxa"/>
        </w:tblCellMar>
        <w:tblLook w:val="04A0" w:firstRow="1" w:lastRow="0" w:firstColumn="1" w:lastColumn="0" w:noHBand="0" w:noVBand="1"/>
      </w:tblPr>
      <w:tblGrid>
        <w:gridCol w:w="1848"/>
        <w:gridCol w:w="1985"/>
        <w:gridCol w:w="1985"/>
        <w:gridCol w:w="1985"/>
      </w:tblGrid>
      <w:tr w:rsidR="00144A25" w:rsidRPr="001F038B" w:rsidTr="007D6B99">
        <w:trPr>
          <w:trHeight w:hRule="exact" w:val="567"/>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1.2 Zvýšení podílu udržitelných forem dopravy</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2. Sociální služby a sociální začleňování</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3. Slaďování rodinného a profesního života</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2.4.1. Podpora udržitelnosti nemotorové a veřejné dopravy</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6.3.2. Podpora poskytování sociálních a inkluzivních služeb</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4.2.2. Podpora pro-rodinných opatření</w:t>
            </w:r>
          </w:p>
        </w:tc>
      </w:tr>
      <w:tr w:rsidR="00144A25" w:rsidRPr="001F038B" w:rsidTr="007D6B99">
        <w:trPr>
          <w:trHeight w:val="2276"/>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5955" w:type="dxa"/>
            <w:gridSpan w:val="3"/>
            <w:tcBorders>
              <w:top w:val="single" w:sz="4" w:space="0" w:color="auto"/>
              <w:left w:val="nil"/>
              <w:bottom w:val="single" w:sz="4" w:space="0" w:color="auto"/>
              <w:right w:val="single" w:sz="4" w:space="0" w:color="000000"/>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Příklad integrovaných cílů IROP-OPZ 2: Vybudování nového chodníku či autobusové zastávky může lépe propojit centrum města s jeho periferií. Prostorové vyloučení je jeden z faktorů sociálního vyloučení - opatření na propojení sociálně vyloučených lokalit s nevyloučenými částmi obce umožní lepší dostupnost služeb, usnadní docházku do školy i do zaměstnání.</w:t>
            </w:r>
            <w:r w:rsidRPr="001F038B">
              <w:rPr>
                <w:rFonts w:ascii="Calibri" w:eastAsia="Times New Roman" w:hAnsi="Calibri" w:cs="Times New Roman"/>
                <w:color w:val="000000"/>
                <w:sz w:val="18"/>
                <w:szCs w:val="18"/>
                <w:lang w:eastAsia="cs-CZ"/>
              </w:rPr>
              <w:br/>
              <w:t xml:space="preserve">IROP-OPZ 3: Investice do udržitelných forem dopravy může mít pozitivní dopad také na lepší dostupnost pracovních příležitostí v regionu, což podpoří především rodiny s dětmi. Projekty z oblasti dopravy mohou být spolufinancovány ze zdrojů OPZ určených na slaďování rodinného a profesního života. </w:t>
            </w:r>
          </w:p>
        </w:tc>
      </w:tr>
    </w:tbl>
    <w:p w:rsidR="00144A25" w:rsidRPr="001F038B" w:rsidRDefault="00144A25" w:rsidP="00144A25"/>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2</w:t>
      </w:r>
      <w:r w:rsidRPr="0022472C">
        <w:rPr>
          <w:noProof/>
        </w:rPr>
        <w:fldChar w:fldCharType="end"/>
      </w:r>
    </w:p>
    <w:tbl>
      <w:tblPr>
        <w:tblW w:w="9300" w:type="dxa"/>
        <w:tblInd w:w="65" w:type="dxa"/>
        <w:tblCellMar>
          <w:left w:w="70" w:type="dxa"/>
          <w:right w:w="70" w:type="dxa"/>
        </w:tblCellMar>
        <w:tblLook w:val="04A0" w:firstRow="1" w:lastRow="0" w:firstColumn="1" w:lastColumn="0" w:noHBand="0" w:noVBand="1"/>
      </w:tblPr>
      <w:tblGrid>
        <w:gridCol w:w="1860"/>
        <w:gridCol w:w="1860"/>
        <w:gridCol w:w="1860"/>
        <w:gridCol w:w="1860"/>
        <w:gridCol w:w="1860"/>
      </w:tblGrid>
      <w:tr w:rsidR="00144A25" w:rsidRPr="001F038B" w:rsidTr="007D6B99">
        <w:trPr>
          <w:trHeight w:hRule="exact" w:val="567"/>
        </w:trPr>
        <w:tc>
          <w:tcPr>
            <w:tcW w:w="1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2.1 Zvýšení kvality a dostupnosti služeb vedoucí k sociální inkluzi</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2.4 Zvýšení kvality a dostupnost infrastruktury pro vzdělávání a celoživotní učení</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2. Sociální služby a sociální začleňování</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1. Podpora zaměstnanosti</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6.3.1. Investice do infrastruktury pro služby vedoucí k sociální inkluzi</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6.1.1. Investice do kapacit a kvality škol a školek</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6.3.2. Podpora poskytování sociálních a inkluzivních služeb</w:t>
            </w:r>
          </w:p>
        </w:tc>
        <w:tc>
          <w:tcPr>
            <w:tcW w:w="18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eastAsia="Times New Roman" w:cs="Times New Roman"/>
                <w:color w:val="000000"/>
                <w:sz w:val="18"/>
                <w:szCs w:val="18"/>
                <w:lang w:eastAsia="cs-CZ"/>
              </w:rPr>
            </w:pPr>
            <w:r w:rsidRPr="001F038B">
              <w:rPr>
                <w:sz w:val="18"/>
                <w:szCs w:val="18"/>
              </w:rPr>
              <w:t>4.2.1. Veřejná podpora podmínek pro nárůst zaměstnanosti</w:t>
            </w:r>
          </w:p>
        </w:tc>
      </w:tr>
      <w:tr w:rsidR="00144A25" w:rsidRPr="001F038B" w:rsidTr="007D6B99">
        <w:trPr>
          <w:trHeight w:val="849"/>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7440" w:type="dxa"/>
            <w:gridSpan w:val="4"/>
            <w:tcBorders>
              <w:top w:val="single" w:sz="4" w:space="0" w:color="auto"/>
              <w:left w:val="nil"/>
              <w:bottom w:val="single" w:sz="4" w:space="0" w:color="auto"/>
              <w:right w:val="single" w:sz="4" w:space="0" w:color="000000"/>
            </w:tcBorders>
            <w:shd w:val="clear" w:color="auto" w:fill="auto"/>
            <w:vAlign w:val="bottom"/>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 xml:space="preserve">Výše uvedená opatření směřují ke zvyšování kvality veřejných služeb a jejich zázemí, vč. služeb sociálních a dále na cíle zaměřené na prevenci sociálního vyloučení. </w:t>
            </w:r>
            <w:r w:rsidRPr="001F038B">
              <w:rPr>
                <w:rFonts w:ascii="Calibri" w:eastAsia="Times New Roman" w:hAnsi="Calibri" w:cs="Times New Roman"/>
                <w:sz w:val="18"/>
                <w:szCs w:val="18"/>
                <w:lang w:eastAsia="cs-CZ"/>
              </w:rPr>
              <w:t>Příkladem takového projektu je komunitní centrum, kde bude probíhat pracovní poradenství a mentoring společně se službami péče o předškolní děti.</w:t>
            </w:r>
          </w:p>
        </w:tc>
      </w:tr>
    </w:tbl>
    <w:p w:rsidR="00144A25" w:rsidRPr="001F038B" w:rsidRDefault="00144A25" w:rsidP="00144A25"/>
    <w:p w:rsidR="00144A25" w:rsidRPr="001F038B" w:rsidRDefault="00144A25" w:rsidP="00144A25">
      <w:r w:rsidRPr="001F038B">
        <w:br w:type="page"/>
      </w:r>
    </w:p>
    <w:p w:rsidR="00144A25" w:rsidRPr="001F038B" w:rsidRDefault="00144A25" w:rsidP="00144A25"/>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3</w:t>
      </w:r>
      <w:r w:rsidRPr="0022472C">
        <w:rPr>
          <w:noProof/>
        </w:rPr>
        <w:fldChar w:fldCharType="end"/>
      </w:r>
    </w:p>
    <w:tbl>
      <w:tblPr>
        <w:tblW w:w="7802" w:type="dxa"/>
        <w:tblInd w:w="65" w:type="dxa"/>
        <w:tblCellMar>
          <w:left w:w="70" w:type="dxa"/>
          <w:right w:w="70" w:type="dxa"/>
        </w:tblCellMar>
        <w:tblLook w:val="04A0" w:firstRow="1" w:lastRow="0" w:firstColumn="1" w:lastColumn="0" w:noHBand="0" w:noVBand="1"/>
      </w:tblPr>
      <w:tblGrid>
        <w:gridCol w:w="1848"/>
        <w:gridCol w:w="1985"/>
        <w:gridCol w:w="1984"/>
        <w:gridCol w:w="1985"/>
      </w:tblGrid>
      <w:tr w:rsidR="00144A25" w:rsidRPr="001F038B" w:rsidTr="007D6B99">
        <w:trPr>
          <w:trHeight w:hRule="exact" w:val="567"/>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PRV</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 xml:space="preserve"> 2.2 Vznik nových a rozvoj existujících podnikatelských aktivit v oblasti sociálního podnikání</w:t>
            </w:r>
          </w:p>
        </w:tc>
        <w:tc>
          <w:tcPr>
            <w:tcW w:w="1984"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4. Sociální podnikání</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7. Podpora investic na založení nebo rozvoj nezemědělských činností</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4.5.1. Podpora zázemí sociálních podniků</w:t>
            </w:r>
          </w:p>
        </w:tc>
        <w:tc>
          <w:tcPr>
            <w:tcW w:w="1984"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4.5.2. Podpora činností vedoucích k rozvoji sociálních podniků</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4.3.1. Zvyšování konkurenceschopnosti nezemědělských podnikatelů</w:t>
            </w:r>
          </w:p>
        </w:tc>
      </w:tr>
      <w:tr w:rsidR="00144A25" w:rsidRPr="001F038B" w:rsidTr="007D6B99">
        <w:trPr>
          <w:trHeight w:val="2430"/>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5954" w:type="dxa"/>
            <w:gridSpan w:val="3"/>
            <w:tcBorders>
              <w:top w:val="single" w:sz="4" w:space="0" w:color="auto"/>
              <w:left w:val="nil"/>
              <w:bottom w:val="single" w:sz="4" w:space="0" w:color="auto"/>
              <w:right w:val="single" w:sz="4" w:space="0" w:color="000000"/>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Cílem výše uvedených opatření je na území MAS podpořit vznik a rozvoj podnikatelské činnosti. První skupina podniků, které budou podpořeny, jsou sociální podniky, jakožto důležití aktéři při řešení problému sociálního vyloučení na trhu práce, popř. dalších sociálních a environmentálních problémů. Druhou skupinou cílů, které daná opatření sledují, je rozvoj místní ekonomiky z lokálních zdrojů a podpora malého a středního podnikání. Propojení se nabízí, protože malé a střední podniky na venkově již často jsou významnými zaměstnavateli osob se sníženým pracovním uplatněním. Díky provázanosti těchto opatření lze provázat také finanční podporu na realizaci projektů v rámci daných opatření. Nejen, že bude možné podnik lépe vybavit, ale také transformovat na podnik sociální a díky podpoře, která se na tento krok váže, moci zaměstnat více osob znevýhodněných na trhu práce.</w:t>
            </w:r>
          </w:p>
        </w:tc>
      </w:tr>
    </w:tbl>
    <w:p w:rsidR="00144A25" w:rsidRPr="001F038B" w:rsidRDefault="00144A25" w:rsidP="00144A25"/>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4</w:t>
      </w:r>
      <w:r w:rsidRPr="0022472C">
        <w:rPr>
          <w:noProof/>
        </w:rPr>
        <w:fldChar w:fldCharType="end"/>
      </w:r>
    </w:p>
    <w:tbl>
      <w:tblPr>
        <w:tblW w:w="8936" w:type="dxa"/>
        <w:tblInd w:w="65" w:type="dxa"/>
        <w:tblCellMar>
          <w:left w:w="70" w:type="dxa"/>
          <w:right w:w="70" w:type="dxa"/>
        </w:tblCellMar>
        <w:tblLook w:val="04A0" w:firstRow="1" w:lastRow="0" w:firstColumn="1" w:lastColumn="0" w:noHBand="0" w:noVBand="1"/>
      </w:tblPr>
      <w:tblGrid>
        <w:gridCol w:w="1848"/>
        <w:gridCol w:w="1843"/>
        <w:gridCol w:w="1843"/>
        <w:gridCol w:w="1701"/>
        <w:gridCol w:w="1701"/>
      </w:tblGrid>
      <w:tr w:rsidR="00144A25" w:rsidRPr="001F038B" w:rsidTr="007D6B99">
        <w:trPr>
          <w:trHeight w:hRule="exact" w:val="567"/>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1843"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3.1 Zefektivnění prezentace, posílení ochrany a rozvoje kulturního a přírodního dědictví</w:t>
            </w:r>
          </w:p>
        </w:tc>
        <w:tc>
          <w:tcPr>
            <w:tcW w:w="1843"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7. Podpora investic na založení nebo rozvoj nezemědělských činností</w:t>
            </w:r>
          </w:p>
        </w:tc>
        <w:tc>
          <w:tcPr>
            <w:tcW w:w="1701"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 xml:space="preserve"> 2.2 Vznik nových a rozvoj existujících podnikatelských aktivit v oblasti sociálního podnikání</w:t>
            </w:r>
          </w:p>
        </w:tc>
        <w:tc>
          <w:tcPr>
            <w:tcW w:w="1701"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4. Sociální podnikání</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843"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3.4.1. Investice do revitalizace hmotných památek</w:t>
            </w:r>
          </w:p>
        </w:tc>
        <w:tc>
          <w:tcPr>
            <w:tcW w:w="1843"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4.3.1. Zvyšování konkurenceschopnosti nezemědělských podnikatelů</w:t>
            </w:r>
          </w:p>
        </w:tc>
        <w:tc>
          <w:tcPr>
            <w:tcW w:w="1701"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4.5.1. Podpora zázemí sociálních podniků</w:t>
            </w:r>
          </w:p>
        </w:tc>
        <w:tc>
          <w:tcPr>
            <w:tcW w:w="1701"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4.5.2. Podpora činností vedoucích k rozvoji sociálních podniků</w:t>
            </w:r>
          </w:p>
        </w:tc>
      </w:tr>
      <w:tr w:rsidR="00144A25" w:rsidRPr="001F038B" w:rsidTr="007D6B99">
        <w:trPr>
          <w:trHeight w:val="1618"/>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7088" w:type="dxa"/>
            <w:gridSpan w:val="4"/>
            <w:tcBorders>
              <w:top w:val="single" w:sz="4" w:space="0" w:color="auto"/>
              <w:left w:val="nil"/>
              <w:bottom w:val="single" w:sz="4" w:space="0" w:color="auto"/>
              <w:right w:val="single" w:sz="4" w:space="0" w:color="000000"/>
            </w:tcBorders>
            <w:shd w:val="clear" w:color="auto" w:fill="auto"/>
            <w:vAlign w:val="bottom"/>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Projekty, jejichž cílem je  "zefektivnění prezentace, posílení ochrany a rozvoje kulturního a přírodního dědictví" mohou být provedeny integrovaným přístupem skrze OP IROP, PRV i OPZ. Příkladem takového projektu je oživení pivovaru ve staré památkové budově. Památkový objekt je zde zázemím pro podnikatelské aktivity i objektem podnikatelských aktivit. Proces rekonstrukce lze hradit z IROP a navíc může umožnit rozvoj místní stavební firmě. Údržba památky a provoz pivovaru, prodej produktů a další aktivity v objektu mohou být financovány z PRV a celý podnik může fungovat v módu sociální firmy, které může pomoci rozběhnout podnikání intervence z OPZ i IROP.</w:t>
            </w:r>
          </w:p>
        </w:tc>
      </w:tr>
    </w:tbl>
    <w:p w:rsidR="00144A25" w:rsidRPr="001F038B" w:rsidRDefault="00144A25" w:rsidP="00144A25"/>
    <w:p w:rsidR="00144A25" w:rsidRPr="001F038B" w:rsidRDefault="00144A25" w:rsidP="00144A25">
      <w:r w:rsidRPr="001F038B">
        <w:br w:type="page"/>
      </w:r>
    </w:p>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5</w:t>
      </w:r>
      <w:r w:rsidRPr="0022472C">
        <w:rPr>
          <w:noProof/>
        </w:rPr>
        <w:fldChar w:fldCharType="end"/>
      </w:r>
    </w:p>
    <w:tbl>
      <w:tblPr>
        <w:tblW w:w="8936" w:type="dxa"/>
        <w:tblInd w:w="65" w:type="dxa"/>
        <w:tblCellMar>
          <w:left w:w="70" w:type="dxa"/>
          <w:right w:w="70" w:type="dxa"/>
        </w:tblCellMar>
        <w:tblLook w:val="04A0" w:firstRow="1" w:lastRow="0" w:firstColumn="1" w:lastColumn="0" w:noHBand="0" w:noVBand="1"/>
      </w:tblPr>
      <w:tblGrid>
        <w:gridCol w:w="1848"/>
        <w:gridCol w:w="1798"/>
        <w:gridCol w:w="1888"/>
        <w:gridCol w:w="1798"/>
        <w:gridCol w:w="1604"/>
      </w:tblGrid>
      <w:tr w:rsidR="00144A25" w:rsidRPr="001F038B" w:rsidTr="007D6B99">
        <w:trPr>
          <w:trHeight w:hRule="exact" w:val="567"/>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PRV</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179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 Podpora zaměstnanosti</w:t>
            </w:r>
          </w:p>
        </w:tc>
        <w:tc>
          <w:tcPr>
            <w:tcW w:w="188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 xml:space="preserve">2.1 Zvýšení kvality a dostupnosti služeb vedoucí k sociální inkluzi  </w:t>
            </w:r>
          </w:p>
        </w:tc>
        <w:tc>
          <w:tcPr>
            <w:tcW w:w="179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7. Podpora investic na založení nebo rozvoj nezemědělských činností</w:t>
            </w:r>
          </w:p>
        </w:tc>
        <w:tc>
          <w:tcPr>
            <w:tcW w:w="1604"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4. Sociální podnikání</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79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1.4.1. Zvyšování zaměstnanosti a rozvoj lidských zdrojů</w:t>
            </w:r>
          </w:p>
        </w:tc>
        <w:tc>
          <w:tcPr>
            <w:tcW w:w="188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4.2.2. Podpora sociálního bydlení a infrastruktury služeb pro sociální inkluzi</w:t>
            </w:r>
          </w:p>
        </w:tc>
        <w:tc>
          <w:tcPr>
            <w:tcW w:w="1798"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1.3.1. Podpora nezemědělského podnikání</w:t>
            </w:r>
          </w:p>
        </w:tc>
        <w:tc>
          <w:tcPr>
            <w:tcW w:w="1604"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1.4.3. Podpora činnosti sociálních podniků</w:t>
            </w:r>
          </w:p>
        </w:tc>
      </w:tr>
      <w:tr w:rsidR="00144A25" w:rsidRPr="001F038B" w:rsidTr="007D6B99">
        <w:trPr>
          <w:trHeight w:val="2051"/>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7088" w:type="dxa"/>
            <w:gridSpan w:val="4"/>
            <w:tcBorders>
              <w:top w:val="single" w:sz="4" w:space="0" w:color="auto"/>
              <w:left w:val="nil"/>
              <w:bottom w:val="single" w:sz="4" w:space="0" w:color="auto"/>
              <w:right w:val="single" w:sz="4" w:space="0" w:color="000000"/>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Tam, kde chybí nebo nejsou dostatečně kvalitní a dostupné služby vedoucí k sociální inkluzi by mohla pomoci podpora investic na vznik a rozvoj podnikatelských aktivit v této oblasti. Ať již půjde o podnikání v oblasti služeb sociální inkluze nebo přímo o sociální podnik v této oblasti, předmětem podnikání může být provozování domu s pečovatelskou službou nebo služeb pro seniory v domácnosti. Další oblast podnikání v sektoru sociální inkluze jsou služby zaměřené na osoby na rodičovské dovolené a usnadnění jejich integrace mezi pracující (jako například alternativní školky, jesle, komunitní školy pro děti v režimu domácího vzdělávání). Výše uvedené příklady budou mít pozitivní dopad na zaměstnanost v místě. Projekty tedy mohou být financovány napříč operačními programy.</w:t>
            </w:r>
          </w:p>
        </w:tc>
      </w:tr>
    </w:tbl>
    <w:p w:rsidR="00144A25" w:rsidRPr="001F038B" w:rsidRDefault="00144A25" w:rsidP="00144A25"/>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6</w:t>
      </w:r>
      <w:r w:rsidRPr="0022472C">
        <w:rPr>
          <w:noProof/>
        </w:rPr>
        <w:fldChar w:fldCharType="end"/>
      </w:r>
    </w:p>
    <w:tbl>
      <w:tblPr>
        <w:tblW w:w="8069" w:type="dxa"/>
        <w:tblInd w:w="65" w:type="dxa"/>
        <w:tblCellMar>
          <w:left w:w="70" w:type="dxa"/>
          <w:right w:w="70" w:type="dxa"/>
        </w:tblCellMar>
        <w:tblLook w:val="04A0" w:firstRow="1" w:lastRow="0" w:firstColumn="1" w:lastColumn="0" w:noHBand="0" w:noVBand="1"/>
      </w:tblPr>
      <w:tblGrid>
        <w:gridCol w:w="1848"/>
        <w:gridCol w:w="1985"/>
        <w:gridCol w:w="2109"/>
        <w:gridCol w:w="2127"/>
      </w:tblGrid>
      <w:tr w:rsidR="00144A25" w:rsidRPr="001F038B" w:rsidTr="007D6B99">
        <w:trPr>
          <w:trHeight w:hRule="exact" w:val="567"/>
        </w:trPr>
        <w:tc>
          <w:tcPr>
            <w:tcW w:w="184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IROP</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OPZ</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fiche operačního programu</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3. Slaďování rodinného a profesního života</w:t>
            </w:r>
          </w:p>
        </w:tc>
        <w:tc>
          <w:tcPr>
            <w:tcW w:w="2109"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 xml:space="preserve">2.4 Zvýšení kvality a dostupnost infrastruktury pro vzdělávání a celoživotní učení </w:t>
            </w:r>
          </w:p>
        </w:tc>
        <w:tc>
          <w:tcPr>
            <w:tcW w:w="2127"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sz w:val="18"/>
                <w:szCs w:val="18"/>
                <w:lang w:eastAsia="cs-CZ"/>
              </w:rPr>
            </w:pPr>
            <w:r w:rsidRPr="001F038B">
              <w:rPr>
                <w:rFonts w:ascii="Calibri" w:eastAsia="Times New Roman" w:hAnsi="Calibri" w:cs="Times New Roman"/>
                <w:sz w:val="18"/>
                <w:szCs w:val="18"/>
                <w:lang w:eastAsia="cs-CZ"/>
              </w:rPr>
              <w:t>1. Podpora zaměstnanosti</w:t>
            </w:r>
          </w:p>
        </w:tc>
      </w:tr>
      <w:tr w:rsidR="00144A25" w:rsidRPr="001F038B" w:rsidTr="007D6B99">
        <w:trPr>
          <w:trHeight w:val="799"/>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198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4.2.2. Podpora pro-rodinných opatření</w:t>
            </w:r>
          </w:p>
        </w:tc>
        <w:tc>
          <w:tcPr>
            <w:tcW w:w="2109"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6.1.1. Investice do kapacit a kvality škol a školek</w:t>
            </w:r>
          </w:p>
        </w:tc>
        <w:tc>
          <w:tcPr>
            <w:tcW w:w="2127"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sz w:val="18"/>
                <w:szCs w:val="18"/>
              </w:rPr>
              <w:t>4.2.1. Veřejná podpora podmínek pro nárůst zaměstnanosti</w:t>
            </w:r>
          </w:p>
        </w:tc>
      </w:tr>
      <w:tr w:rsidR="00144A25" w:rsidRPr="001F038B" w:rsidTr="007D6B99">
        <w:trPr>
          <w:trHeight w:val="1234"/>
        </w:trPr>
        <w:tc>
          <w:tcPr>
            <w:tcW w:w="1848"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6221" w:type="dxa"/>
            <w:gridSpan w:val="3"/>
            <w:tcBorders>
              <w:top w:val="single" w:sz="4" w:space="0" w:color="auto"/>
              <w:left w:val="nil"/>
              <w:bottom w:val="single" w:sz="4" w:space="0" w:color="auto"/>
              <w:right w:val="single" w:sz="4" w:space="0" w:color="000000"/>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Cílem opatření je vytvořit dostatek možností a kapacit pro hlídání dětí a péče o ně a to za účelem snazšího pracovního zapojení jejich rodičů na trh práce. Opatření je provázáno cíli SCLLD zaměřenými na zvyšování zaměstnanosti v regionu a dále s cíli, které se týkají zlepšování kvality a kapacit vzdělávací soustavy a její infrastruktury na území MAS.</w:t>
            </w:r>
          </w:p>
        </w:tc>
      </w:tr>
    </w:tbl>
    <w:p w:rsidR="00144A25" w:rsidRPr="001F038B" w:rsidRDefault="00144A25" w:rsidP="00144A25"/>
    <w:p w:rsidR="00144A25" w:rsidRPr="001F038B" w:rsidRDefault="00144A25" w:rsidP="00144A25">
      <w:pPr>
        <w:pStyle w:val="Titulek"/>
        <w:keepNext/>
      </w:pPr>
      <w:r w:rsidRPr="001F038B">
        <w:t xml:space="preserve">Příklad integrovaného přístupu- tabulka </w:t>
      </w:r>
      <w:r w:rsidRPr="0022472C">
        <w:fldChar w:fldCharType="begin"/>
      </w:r>
      <w:r w:rsidRPr="001F038B">
        <w:instrText xml:space="preserve"> SEQ Příklad_integrovaného_přístupu-_tabulka \* ARABIC </w:instrText>
      </w:r>
      <w:r w:rsidRPr="0022472C">
        <w:fldChar w:fldCharType="separate"/>
      </w:r>
      <w:r>
        <w:rPr>
          <w:noProof/>
        </w:rPr>
        <w:t>7</w:t>
      </w:r>
      <w:r w:rsidRPr="0022472C">
        <w:rPr>
          <w:noProof/>
        </w:rPr>
        <w:fldChar w:fldCharType="end"/>
      </w:r>
    </w:p>
    <w:tbl>
      <w:tblPr>
        <w:tblW w:w="8085" w:type="dxa"/>
        <w:tblInd w:w="65" w:type="dxa"/>
        <w:tblCellMar>
          <w:left w:w="70" w:type="dxa"/>
          <w:right w:w="70" w:type="dxa"/>
        </w:tblCellMar>
        <w:tblLook w:val="04A0" w:firstRow="1" w:lastRow="0" w:firstColumn="1" w:lastColumn="0" w:noHBand="0" w:noVBand="1"/>
      </w:tblPr>
      <w:tblGrid>
        <w:gridCol w:w="1860"/>
        <w:gridCol w:w="2965"/>
        <w:gridCol w:w="3260"/>
      </w:tblGrid>
      <w:tr w:rsidR="00144A25" w:rsidRPr="001F038B" w:rsidTr="007D6B99">
        <w:trPr>
          <w:trHeight w:hRule="exact" w:val="567"/>
        </w:trPr>
        <w:tc>
          <w:tcPr>
            <w:tcW w:w="1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2965" w:type="dxa"/>
            <w:tcBorders>
              <w:top w:val="single" w:sz="4" w:space="0" w:color="auto"/>
              <w:left w:val="nil"/>
              <w:bottom w:val="single" w:sz="4" w:space="0" w:color="auto"/>
              <w:right w:val="single" w:sz="4" w:space="0" w:color="auto"/>
            </w:tcBorders>
            <w:shd w:val="clear" w:color="000000" w:fill="FFFFFF"/>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PRV</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PRV</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296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 Lesnická infrastruktura</w:t>
            </w:r>
          </w:p>
        </w:tc>
        <w:tc>
          <w:tcPr>
            <w:tcW w:w="32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11. Investice do lesnických technologií a zpracování lesnických produktů, jejich mobilizace a uvádění na trh</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2965"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4.6.4. Zlepšování lesnické infrastruktury</w:t>
            </w:r>
          </w:p>
        </w:tc>
        <w:tc>
          <w:tcPr>
            <w:tcW w:w="3260" w:type="dxa"/>
            <w:tcBorders>
              <w:top w:val="nil"/>
              <w:left w:val="nil"/>
              <w:bottom w:val="single" w:sz="4" w:space="0" w:color="auto"/>
              <w:right w:val="single" w:sz="4" w:space="0" w:color="auto"/>
            </w:tcBorders>
            <w:shd w:val="clear" w:color="auto" w:fill="auto"/>
            <w:vAlign w:val="center"/>
            <w:hideMark/>
          </w:tcPr>
          <w:p w:rsidR="00144A25" w:rsidRPr="001F038B" w:rsidRDefault="00144A25" w:rsidP="007D6B99">
            <w:pPr>
              <w:spacing w:after="0" w:line="240" w:lineRule="auto"/>
              <w:jc w:val="center"/>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4.6.2. Podpora konkurenceschopnosti lesního hospodářství a lesnických produktů</w:t>
            </w:r>
          </w:p>
        </w:tc>
      </w:tr>
      <w:tr w:rsidR="00144A25" w:rsidRPr="001F038B" w:rsidTr="007D6B99">
        <w:trPr>
          <w:trHeight w:val="567"/>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6225" w:type="dxa"/>
            <w:gridSpan w:val="2"/>
            <w:tcBorders>
              <w:top w:val="single" w:sz="4" w:space="0" w:color="auto"/>
              <w:left w:val="nil"/>
              <w:bottom w:val="single" w:sz="4" w:space="0" w:color="auto"/>
              <w:right w:val="single" w:sz="4" w:space="0" w:color="000000"/>
            </w:tcBorders>
            <w:shd w:val="clear" w:color="auto" w:fill="auto"/>
            <w:vAlign w:val="center"/>
            <w:hideMark/>
          </w:tcPr>
          <w:p w:rsidR="00144A25" w:rsidRPr="001F038B" w:rsidRDefault="00144A25" w:rsidP="007D6B99">
            <w:pPr>
              <w:spacing w:after="0" w:line="240" w:lineRule="auto"/>
              <w:jc w:val="both"/>
              <w:rPr>
                <w:rFonts w:ascii="Calibri" w:eastAsia="Times New Roman" w:hAnsi="Calibri" w:cs="Times New Roman"/>
                <w:color w:val="000000"/>
                <w:sz w:val="18"/>
                <w:szCs w:val="18"/>
                <w:lang w:eastAsia="cs-CZ"/>
              </w:rPr>
            </w:pPr>
            <w:r w:rsidRPr="001F038B">
              <w:rPr>
                <w:rFonts w:ascii="Calibri" w:eastAsia="Times New Roman" w:hAnsi="Calibri" w:cs="Times New Roman"/>
                <w:color w:val="000000"/>
                <w:sz w:val="18"/>
                <w:szCs w:val="18"/>
                <w:lang w:eastAsia="cs-CZ"/>
              </w:rPr>
              <w:t>Potřeba podpory Lesnické infrastruktury je v návaznosti na konkurenceschopnost drobných podnikatelů v lesním hospodářství. Podpořením opatření SCLLD 4.6.4 – Zlepšování lesnické infrastruktury se pozitivně projeví nejen v tomto cíli, ale také kladně ovlivní navazující oblastí jako je opatření SCLLD 4.6.2. Podpora konkurenceschopnosti lesního hospodářství a lesnických produktů, a také obecně podpoří zaměstnanost, která je jednou z hlavních strategických cílů celé SCLLD.</w:t>
            </w:r>
          </w:p>
        </w:tc>
      </w:tr>
    </w:tbl>
    <w:p w:rsidR="00144A25" w:rsidRPr="001F038B" w:rsidRDefault="00144A25" w:rsidP="00144A25"/>
    <w:p w:rsidR="00144A25" w:rsidRPr="001F038B" w:rsidRDefault="00144A25" w:rsidP="00144A25">
      <w:pPr>
        <w:pStyle w:val="Titulek"/>
        <w:keepNext/>
      </w:pPr>
      <w:r w:rsidRPr="00144A25">
        <w:rPr>
          <w:highlight w:val="yellow"/>
        </w:rPr>
        <w:t>Příklad integrovaného přístupu - tabulka 8</w:t>
      </w:r>
    </w:p>
    <w:tbl>
      <w:tblPr>
        <w:tblW w:w="8085" w:type="dxa"/>
        <w:tblInd w:w="65" w:type="dxa"/>
        <w:tblCellMar>
          <w:left w:w="70" w:type="dxa"/>
          <w:right w:w="70" w:type="dxa"/>
        </w:tblCellMar>
        <w:tblLook w:val="04A0" w:firstRow="1" w:lastRow="0" w:firstColumn="1" w:lastColumn="0" w:noHBand="0" w:noVBand="1"/>
      </w:tblPr>
      <w:tblGrid>
        <w:gridCol w:w="1860"/>
        <w:gridCol w:w="2965"/>
        <w:gridCol w:w="3260"/>
      </w:tblGrid>
      <w:tr w:rsidR="00144A25" w:rsidRPr="001F038B" w:rsidTr="007D6B99">
        <w:trPr>
          <w:trHeight w:hRule="exact" w:val="567"/>
        </w:trPr>
        <w:tc>
          <w:tcPr>
            <w:tcW w:w="1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2965" w:type="dxa"/>
            <w:tcBorders>
              <w:top w:val="single" w:sz="4" w:space="0" w:color="auto"/>
              <w:left w:val="nil"/>
              <w:bottom w:val="single" w:sz="4" w:space="0" w:color="auto"/>
              <w:right w:val="single" w:sz="4" w:space="0" w:color="auto"/>
            </w:tcBorders>
            <w:shd w:val="clear" w:color="000000" w:fill="FFFFFF"/>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OP ŽP</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OP ŽP</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2965" w:type="dxa"/>
            <w:tcBorders>
              <w:top w:val="nil"/>
              <w:left w:val="nil"/>
              <w:bottom w:val="single" w:sz="4" w:space="0" w:color="auto"/>
              <w:right w:val="single" w:sz="4" w:space="0" w:color="auto"/>
            </w:tcBorders>
            <w:shd w:val="clear" w:color="auto" w:fill="auto"/>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hAnsi="Calibri" w:cs="Calibri"/>
                <w:bCs/>
                <w:color w:val="000000"/>
                <w:sz w:val="18"/>
                <w:szCs w:val="18"/>
                <w:highlight w:val="yellow"/>
              </w:rPr>
              <w:t>Posílení přirozené funkce krajiny -územní systémy ekologické stability</w:t>
            </w:r>
          </w:p>
        </w:tc>
        <w:tc>
          <w:tcPr>
            <w:tcW w:w="3260" w:type="dxa"/>
            <w:tcBorders>
              <w:top w:val="nil"/>
              <w:left w:val="nil"/>
              <w:bottom w:val="single" w:sz="4" w:space="0" w:color="auto"/>
              <w:right w:val="single" w:sz="4" w:space="0" w:color="auto"/>
            </w:tcBorders>
            <w:shd w:val="clear" w:color="auto" w:fill="auto"/>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sz w:val="18"/>
                <w:szCs w:val="18"/>
                <w:highlight w:val="yellow"/>
                <w:lang w:eastAsia="cs-CZ"/>
              </w:rPr>
              <w:t xml:space="preserve"> </w:t>
            </w:r>
            <w:r w:rsidRPr="00144A25">
              <w:rPr>
                <w:rFonts w:ascii="Calibri" w:hAnsi="Calibri" w:cs="Calibri"/>
                <w:bCs/>
                <w:color w:val="000000"/>
                <w:sz w:val="18"/>
                <w:szCs w:val="18"/>
                <w:highlight w:val="yellow"/>
              </w:rPr>
              <w:t>Protierozní opatření</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2965" w:type="dxa"/>
            <w:tcBorders>
              <w:top w:val="nil"/>
              <w:left w:val="nil"/>
              <w:bottom w:val="single" w:sz="4" w:space="0" w:color="auto"/>
              <w:right w:val="single" w:sz="4" w:space="0" w:color="auto"/>
            </w:tcBorders>
            <w:shd w:val="clear" w:color="auto" w:fill="auto"/>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5.1.1. Investice do ochrany životního prostředí a prostupnosti krajiny</w:t>
            </w:r>
          </w:p>
        </w:tc>
        <w:tc>
          <w:tcPr>
            <w:tcW w:w="3260" w:type="dxa"/>
            <w:tcBorders>
              <w:top w:val="nil"/>
              <w:left w:val="nil"/>
              <w:bottom w:val="single" w:sz="4" w:space="0" w:color="auto"/>
              <w:right w:val="single" w:sz="4" w:space="0" w:color="auto"/>
            </w:tcBorders>
            <w:shd w:val="clear" w:color="auto" w:fill="auto"/>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5.2.1. Zlepšování vodního režimu v zemědělské krajině a v intravilánu</w:t>
            </w:r>
          </w:p>
        </w:tc>
      </w:tr>
      <w:tr w:rsidR="00144A25" w:rsidRPr="001F038B" w:rsidTr="007D6B99">
        <w:trPr>
          <w:trHeight w:val="567"/>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6225" w:type="dxa"/>
            <w:gridSpan w:val="2"/>
            <w:tcBorders>
              <w:top w:val="single" w:sz="4" w:space="0" w:color="auto"/>
              <w:left w:val="nil"/>
              <w:bottom w:val="single" w:sz="4" w:space="0" w:color="auto"/>
              <w:right w:val="single" w:sz="4" w:space="0" w:color="000000"/>
            </w:tcBorders>
            <w:shd w:val="clear" w:color="auto" w:fill="auto"/>
            <w:vAlign w:val="center"/>
            <w:hideMark/>
          </w:tcPr>
          <w:p w:rsidR="00144A25" w:rsidRPr="00144A25" w:rsidRDefault="00144A25" w:rsidP="007D6B99">
            <w:pPr>
              <w:spacing w:after="0" w:line="240" w:lineRule="auto"/>
              <w:jc w:val="both"/>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Investice do obnovy krajiny v poškozených oblastech, přirozenější segmentace krajiny, podpora biodiverzity a přirozených funkcí krajiny, zakládání a zlepšování funkčního stavu biocenter a biokoridorů často zahrnují také dílčí opatření na zlepšení vodního režimu krajiny – zadržování vody v obdobích sucha a zvyšování odolnosti vůči extrémně intenzivním srážkám a povodním. Integrovaný přístup spočívá především v praktickém provázání cílů obou opatření při realizaci konkrétních projektů.</w:t>
            </w:r>
          </w:p>
          <w:p w:rsidR="00144A25" w:rsidRPr="00144A25" w:rsidRDefault="00144A25" w:rsidP="007D6B99">
            <w:pPr>
              <w:spacing w:after="0" w:line="240" w:lineRule="auto"/>
              <w:jc w:val="both"/>
              <w:rPr>
                <w:rFonts w:ascii="Calibri" w:eastAsia="Times New Roman" w:hAnsi="Calibri" w:cs="Times New Roman"/>
                <w:color w:val="000000"/>
                <w:sz w:val="18"/>
                <w:szCs w:val="18"/>
                <w:highlight w:val="yellow"/>
                <w:lang w:eastAsia="cs-CZ"/>
              </w:rPr>
            </w:pPr>
          </w:p>
        </w:tc>
      </w:tr>
    </w:tbl>
    <w:p w:rsidR="00144A25" w:rsidRDefault="00144A25" w:rsidP="00144A25"/>
    <w:p w:rsidR="00144A25" w:rsidRPr="001F038B" w:rsidRDefault="00144A25" w:rsidP="00144A25">
      <w:pPr>
        <w:pStyle w:val="Titulek"/>
        <w:keepNext/>
      </w:pPr>
      <w:r w:rsidRPr="00144A25">
        <w:rPr>
          <w:highlight w:val="yellow"/>
        </w:rPr>
        <w:t>Příklad integrovaného přístupu - tabulka 9</w:t>
      </w:r>
    </w:p>
    <w:tbl>
      <w:tblPr>
        <w:tblW w:w="8085" w:type="dxa"/>
        <w:tblInd w:w="65" w:type="dxa"/>
        <w:tblCellMar>
          <w:left w:w="70" w:type="dxa"/>
          <w:right w:w="70" w:type="dxa"/>
        </w:tblCellMar>
        <w:tblLook w:val="04A0" w:firstRow="1" w:lastRow="0" w:firstColumn="1" w:lastColumn="0" w:noHBand="0" w:noVBand="1"/>
      </w:tblPr>
      <w:tblGrid>
        <w:gridCol w:w="1860"/>
        <w:gridCol w:w="2965"/>
        <w:gridCol w:w="3260"/>
      </w:tblGrid>
      <w:tr w:rsidR="00144A25" w:rsidRPr="001F038B" w:rsidTr="007D6B99">
        <w:trPr>
          <w:trHeight w:hRule="exact" w:val="567"/>
        </w:trPr>
        <w:tc>
          <w:tcPr>
            <w:tcW w:w="18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Operační program</w:t>
            </w:r>
          </w:p>
        </w:tc>
        <w:tc>
          <w:tcPr>
            <w:tcW w:w="2965" w:type="dxa"/>
            <w:tcBorders>
              <w:top w:val="single" w:sz="4" w:space="0" w:color="auto"/>
              <w:left w:val="nil"/>
              <w:bottom w:val="single" w:sz="4" w:space="0" w:color="auto"/>
              <w:right w:val="single" w:sz="4" w:space="0" w:color="auto"/>
            </w:tcBorders>
            <w:shd w:val="clear" w:color="000000" w:fill="FFFFFF"/>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OP ŽP</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IROP</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Specifický cíl / fiche operačního programu</w:t>
            </w:r>
          </w:p>
        </w:tc>
        <w:tc>
          <w:tcPr>
            <w:tcW w:w="2965" w:type="dxa"/>
            <w:tcBorders>
              <w:top w:val="nil"/>
              <w:left w:val="nil"/>
              <w:bottom w:val="single" w:sz="4" w:space="0" w:color="auto"/>
              <w:right w:val="single" w:sz="4" w:space="0" w:color="auto"/>
            </w:tcBorders>
            <w:shd w:val="clear" w:color="auto" w:fill="auto"/>
            <w:vAlign w:val="center"/>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hAnsi="Calibri" w:cs="Calibri"/>
                <w:bCs/>
                <w:color w:val="000000"/>
                <w:sz w:val="18"/>
                <w:szCs w:val="18"/>
                <w:highlight w:val="yellow"/>
              </w:rPr>
              <w:t>Zlepšení kvality prostředí v sídlech</w:t>
            </w:r>
          </w:p>
        </w:tc>
        <w:tc>
          <w:tcPr>
            <w:tcW w:w="3260" w:type="dxa"/>
            <w:tcBorders>
              <w:top w:val="nil"/>
              <w:left w:val="nil"/>
              <w:bottom w:val="single" w:sz="4" w:space="0" w:color="auto"/>
              <w:right w:val="single" w:sz="4" w:space="0" w:color="auto"/>
            </w:tcBorders>
            <w:shd w:val="clear" w:color="auto" w:fill="auto"/>
            <w:vAlign w:val="center"/>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1.2 Zvýšení podílu udržitelných forem dopravy</w:t>
            </w:r>
          </w:p>
        </w:tc>
      </w:tr>
      <w:tr w:rsidR="00144A25" w:rsidRPr="001F038B" w:rsidTr="007D6B99">
        <w:trPr>
          <w:trHeight w:val="799"/>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Opatření SCLLD</w:t>
            </w:r>
          </w:p>
        </w:tc>
        <w:tc>
          <w:tcPr>
            <w:tcW w:w="2965" w:type="dxa"/>
            <w:tcBorders>
              <w:top w:val="nil"/>
              <w:left w:val="nil"/>
              <w:bottom w:val="single" w:sz="4" w:space="0" w:color="auto"/>
              <w:right w:val="single" w:sz="4" w:space="0" w:color="auto"/>
            </w:tcBorders>
            <w:shd w:val="clear" w:color="auto" w:fill="auto"/>
            <w:vAlign w:val="center"/>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3.5.1. Revitalizace veřejných prostranství</w:t>
            </w:r>
          </w:p>
        </w:tc>
        <w:tc>
          <w:tcPr>
            <w:tcW w:w="3260" w:type="dxa"/>
            <w:tcBorders>
              <w:top w:val="nil"/>
              <w:left w:val="nil"/>
              <w:bottom w:val="single" w:sz="4" w:space="0" w:color="auto"/>
              <w:right w:val="single" w:sz="4" w:space="0" w:color="auto"/>
            </w:tcBorders>
            <w:shd w:val="clear" w:color="auto" w:fill="auto"/>
            <w:vAlign w:val="center"/>
          </w:tcPr>
          <w:p w:rsidR="00144A25" w:rsidRPr="00144A25" w:rsidRDefault="00144A25" w:rsidP="007D6B99">
            <w:pPr>
              <w:spacing w:after="0" w:line="240" w:lineRule="auto"/>
              <w:jc w:val="center"/>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2.4.1. Podpora udržitelnosti nemotorové a veřejné dopravy</w:t>
            </w:r>
          </w:p>
        </w:tc>
      </w:tr>
      <w:tr w:rsidR="00144A25" w:rsidRPr="001F038B" w:rsidTr="007D6B99">
        <w:trPr>
          <w:trHeight w:val="567"/>
        </w:trPr>
        <w:tc>
          <w:tcPr>
            <w:tcW w:w="1860" w:type="dxa"/>
            <w:tcBorders>
              <w:top w:val="nil"/>
              <w:left w:val="single" w:sz="4" w:space="0" w:color="auto"/>
              <w:bottom w:val="single" w:sz="4" w:space="0" w:color="auto"/>
              <w:right w:val="single" w:sz="4" w:space="0" w:color="auto"/>
            </w:tcBorders>
            <w:shd w:val="clear" w:color="000000" w:fill="BFBFBF"/>
            <w:noWrap/>
            <w:vAlign w:val="center"/>
            <w:hideMark/>
          </w:tcPr>
          <w:p w:rsidR="00144A25" w:rsidRPr="001F038B" w:rsidRDefault="00144A25" w:rsidP="007D6B99">
            <w:pPr>
              <w:spacing w:after="0" w:line="240" w:lineRule="auto"/>
              <w:jc w:val="both"/>
              <w:rPr>
                <w:rFonts w:ascii="Calibri" w:eastAsia="Times New Roman" w:hAnsi="Calibri" w:cs="Times New Roman"/>
                <w:b/>
                <w:bCs/>
                <w:color w:val="FFFFFF"/>
                <w:sz w:val="18"/>
                <w:szCs w:val="18"/>
                <w:lang w:eastAsia="cs-CZ"/>
              </w:rPr>
            </w:pPr>
            <w:r w:rsidRPr="001F038B">
              <w:rPr>
                <w:rFonts w:ascii="Calibri" w:eastAsia="Times New Roman" w:hAnsi="Calibri" w:cs="Times New Roman"/>
                <w:b/>
                <w:bCs/>
                <w:color w:val="FFFFFF"/>
                <w:sz w:val="18"/>
                <w:szCs w:val="18"/>
                <w:lang w:eastAsia="cs-CZ"/>
              </w:rPr>
              <w:t>Integrovaný přístup</w:t>
            </w:r>
          </w:p>
        </w:tc>
        <w:tc>
          <w:tcPr>
            <w:tcW w:w="6225" w:type="dxa"/>
            <w:gridSpan w:val="2"/>
            <w:tcBorders>
              <w:top w:val="single" w:sz="4" w:space="0" w:color="auto"/>
              <w:left w:val="nil"/>
              <w:bottom w:val="single" w:sz="4" w:space="0" w:color="auto"/>
              <w:right w:val="single" w:sz="4" w:space="0" w:color="000000"/>
            </w:tcBorders>
            <w:shd w:val="clear" w:color="auto" w:fill="auto"/>
            <w:vAlign w:val="center"/>
            <w:hideMark/>
          </w:tcPr>
          <w:p w:rsidR="00144A25" w:rsidRPr="00144A25" w:rsidRDefault="00144A25" w:rsidP="007D6B99">
            <w:pPr>
              <w:spacing w:after="0" w:line="240" w:lineRule="auto"/>
              <w:jc w:val="both"/>
              <w:rPr>
                <w:rFonts w:ascii="Calibri" w:eastAsia="Times New Roman" w:hAnsi="Calibri" w:cs="Times New Roman"/>
                <w:color w:val="000000"/>
                <w:sz w:val="18"/>
                <w:szCs w:val="18"/>
                <w:highlight w:val="yellow"/>
                <w:lang w:eastAsia="cs-CZ"/>
              </w:rPr>
            </w:pPr>
            <w:r w:rsidRPr="00144A25">
              <w:rPr>
                <w:rFonts w:ascii="Calibri" w:eastAsia="Times New Roman" w:hAnsi="Calibri" w:cs="Times New Roman"/>
                <w:color w:val="000000"/>
                <w:sz w:val="18"/>
                <w:szCs w:val="18"/>
                <w:highlight w:val="yellow"/>
                <w:lang w:eastAsia="cs-CZ"/>
              </w:rPr>
              <w:t>Investice do zvyšování bezpečnosti v dopravě a do podpory nemotorové a veřejné dopravy zároveň podporují záměry a potřeby revitalizací veřejných prostranství. Vhodnou integrací obou cílů je tak podporován rozvoj infrastruktury v souladu               s nároky na estetiku, ekologické funkce a užitnou hodnotu veřejného prostoru.</w:t>
            </w:r>
          </w:p>
          <w:p w:rsidR="00144A25" w:rsidRPr="00144A25" w:rsidRDefault="00144A25" w:rsidP="007D6B99">
            <w:pPr>
              <w:spacing w:after="0" w:line="240" w:lineRule="auto"/>
              <w:jc w:val="both"/>
              <w:rPr>
                <w:rFonts w:ascii="Calibri" w:eastAsia="Times New Roman" w:hAnsi="Calibri" w:cs="Times New Roman"/>
                <w:color w:val="000000"/>
                <w:sz w:val="18"/>
                <w:szCs w:val="18"/>
                <w:highlight w:val="yellow"/>
                <w:lang w:eastAsia="cs-CZ"/>
              </w:rPr>
            </w:pPr>
          </w:p>
        </w:tc>
      </w:tr>
    </w:tbl>
    <w:p w:rsidR="00144A25" w:rsidRPr="001F038B" w:rsidRDefault="00144A25" w:rsidP="00144A25"/>
    <w:p w:rsidR="00144A25" w:rsidRPr="001F038B" w:rsidRDefault="00144A25" w:rsidP="00144A25">
      <w:pPr>
        <w:spacing w:line="288" w:lineRule="auto"/>
        <w:jc w:val="both"/>
        <w:rPr>
          <w:lang w:eastAsia="cs-CZ"/>
        </w:rPr>
      </w:pPr>
      <w:r w:rsidRPr="001F038B">
        <w:rPr>
          <w:lang w:eastAsia="cs-CZ"/>
        </w:rPr>
        <w:t>Dvě níže uvedené schéma a na ně navazující tabulky dále uvádějí:</w:t>
      </w:r>
    </w:p>
    <w:p w:rsidR="00144A25" w:rsidRPr="001F038B" w:rsidRDefault="00144A25" w:rsidP="00233195">
      <w:pPr>
        <w:pStyle w:val="Odstavecseseznamem"/>
        <w:numPr>
          <w:ilvl w:val="0"/>
          <w:numId w:val="4"/>
        </w:numPr>
        <w:spacing w:line="288" w:lineRule="auto"/>
        <w:jc w:val="both"/>
        <w:rPr>
          <w:b/>
          <w:lang w:eastAsia="cs-CZ"/>
        </w:rPr>
      </w:pPr>
      <w:r w:rsidRPr="001F038B">
        <w:rPr>
          <w:lang w:eastAsia="cs-CZ"/>
        </w:rPr>
        <w:t xml:space="preserve">vzájemné integrační vazby mezi </w:t>
      </w:r>
      <w:r w:rsidRPr="001F038B">
        <w:rPr>
          <w:b/>
          <w:lang w:eastAsia="cs-CZ"/>
        </w:rPr>
        <w:t>všemi opatřeními strategie a specificky opatřeními programových rámců</w:t>
      </w:r>
    </w:p>
    <w:p w:rsidR="00144A25" w:rsidRPr="001F038B" w:rsidRDefault="00144A25" w:rsidP="00233195">
      <w:pPr>
        <w:pStyle w:val="Odstavecseseznamem"/>
        <w:numPr>
          <w:ilvl w:val="0"/>
          <w:numId w:val="4"/>
        </w:numPr>
        <w:spacing w:line="288" w:lineRule="auto"/>
        <w:jc w:val="both"/>
        <w:rPr>
          <w:b/>
          <w:lang w:eastAsia="cs-CZ"/>
        </w:rPr>
      </w:pPr>
      <w:r w:rsidRPr="001F038B">
        <w:rPr>
          <w:lang w:eastAsia="cs-CZ"/>
        </w:rPr>
        <w:t xml:space="preserve">vzájemné integrační vazby mezi </w:t>
      </w:r>
      <w:r w:rsidRPr="001F038B">
        <w:rPr>
          <w:b/>
          <w:lang w:eastAsia="cs-CZ"/>
        </w:rPr>
        <w:t>všemi opatřeními programových rámců</w:t>
      </w:r>
    </w:p>
    <w:p w:rsidR="00144A25" w:rsidRPr="001F038B" w:rsidRDefault="00144A25" w:rsidP="00144A25">
      <w:r w:rsidRPr="001F038B">
        <w:rPr>
          <w:lang w:eastAsia="cs-CZ"/>
        </w:rPr>
        <w:t xml:space="preserve">V některých případech mezi opatřeními existuje tzv. </w:t>
      </w:r>
      <w:r w:rsidRPr="001F038B">
        <w:rPr>
          <w:b/>
          <w:lang w:eastAsia="cs-CZ"/>
        </w:rPr>
        <w:t>silná integrační vazba</w:t>
      </w:r>
      <w:r w:rsidRPr="001F038B">
        <w:rPr>
          <w:lang w:eastAsia="cs-CZ"/>
        </w:rPr>
        <w:t xml:space="preserve">, která znamená </w:t>
      </w:r>
      <w:r w:rsidRPr="001F038B">
        <w:rPr>
          <w:b/>
          <w:lang w:eastAsia="cs-CZ"/>
        </w:rPr>
        <w:t xml:space="preserve">věcnou, časovou či prostorovou podmíněnost </w:t>
      </w:r>
      <w:r w:rsidRPr="001F038B">
        <w:rPr>
          <w:lang w:eastAsia="cs-CZ"/>
        </w:rPr>
        <w:t xml:space="preserve">v dané dvojici opatření. V dalších případech je identifikována tzv. </w:t>
      </w:r>
      <w:r w:rsidRPr="001F038B">
        <w:rPr>
          <w:b/>
          <w:lang w:eastAsia="cs-CZ"/>
        </w:rPr>
        <w:t>slabá integrační vazba</w:t>
      </w:r>
      <w:r w:rsidRPr="001F038B">
        <w:rPr>
          <w:lang w:eastAsia="cs-CZ"/>
        </w:rPr>
        <w:t xml:space="preserve">, která znamená </w:t>
      </w:r>
      <w:r w:rsidRPr="001F038B">
        <w:rPr>
          <w:b/>
          <w:lang w:eastAsia="cs-CZ"/>
        </w:rPr>
        <w:t>synergii</w:t>
      </w:r>
      <w:r w:rsidRPr="001F038B">
        <w:rPr>
          <w:lang w:eastAsia="cs-CZ"/>
        </w:rPr>
        <w:t xml:space="preserve"> mezi danou dvojicí opatření. Veškeré identifikované integrační vazby obou typů jsou ve schématech označeny kódem, podle kterého je lze dohledat v níže uvedených složených tabulkách. Tabulky pak uvádějí popis každé vazby a příklady teoreticky možných typových projektů/aktivit k této vazbě. </w:t>
      </w:r>
    </w:p>
    <w:p w:rsidR="00144A25" w:rsidRPr="001F038B" w:rsidRDefault="00144A25" w:rsidP="00144A25"/>
    <w:p w:rsidR="00144A25" w:rsidRPr="001F038B" w:rsidRDefault="00144A25" w:rsidP="00144A25">
      <w:pPr>
        <w:sectPr w:rsidR="00144A25" w:rsidRPr="001F038B" w:rsidSect="00AD6A11">
          <w:pgSz w:w="11906" w:h="16838"/>
          <w:pgMar w:top="1417" w:right="1417" w:bottom="1417" w:left="1417" w:header="708" w:footer="708" w:gutter="0"/>
          <w:cols w:space="708"/>
          <w:docGrid w:linePitch="360"/>
        </w:sectPr>
      </w:pPr>
    </w:p>
    <w:p w:rsidR="00144A25" w:rsidRPr="001F038B" w:rsidRDefault="00144A25" w:rsidP="00144A25">
      <w:r w:rsidRPr="00AC6560">
        <w:rPr>
          <w:noProof/>
          <w:lang w:eastAsia="cs-CZ"/>
        </w:rPr>
        <w:drawing>
          <wp:inline distT="0" distB="0" distL="0" distR="0" wp14:anchorId="2A0EBBDC" wp14:editId="1249C137">
            <wp:extent cx="13322300" cy="3621702"/>
            <wp:effectExtent l="0" t="0" r="0" b="0"/>
            <wp:docPr id="691" name="Obrázek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2300" cy="3621702"/>
                    </a:xfrm>
                    <a:prstGeom prst="rect">
                      <a:avLst/>
                    </a:prstGeom>
                    <a:noFill/>
                    <a:ln>
                      <a:noFill/>
                    </a:ln>
                  </pic:spPr>
                </pic:pic>
              </a:graphicData>
            </a:graphic>
          </wp:inline>
        </w:drawing>
      </w:r>
    </w:p>
    <w:p w:rsidR="00144A25" w:rsidRPr="001F038B" w:rsidRDefault="00144A25" w:rsidP="00144A25"/>
    <w:tbl>
      <w:tblPr>
        <w:tblW w:w="9436" w:type="dxa"/>
        <w:tblInd w:w="55" w:type="dxa"/>
        <w:tblCellMar>
          <w:left w:w="70" w:type="dxa"/>
          <w:right w:w="70" w:type="dxa"/>
        </w:tblCellMar>
        <w:tblLook w:val="04A0" w:firstRow="1" w:lastRow="0" w:firstColumn="1" w:lastColumn="0" w:noHBand="0" w:noVBand="1"/>
      </w:tblPr>
      <w:tblGrid>
        <w:gridCol w:w="983"/>
        <w:gridCol w:w="8453"/>
      </w:tblGrid>
      <w:tr w:rsidR="00144A25" w:rsidRPr="001F038B" w:rsidTr="007D6B99">
        <w:trPr>
          <w:trHeight w:val="300"/>
        </w:trPr>
        <w:tc>
          <w:tcPr>
            <w:tcW w:w="9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X</w:t>
            </w:r>
          </w:p>
        </w:tc>
        <w:tc>
          <w:tcPr>
            <w:tcW w:w="845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Odvozená opatření (opatření PR podmnožinou opatření strategie)</w:t>
            </w:r>
          </w:p>
        </w:tc>
      </w:tr>
      <w:tr w:rsidR="00144A25" w:rsidRPr="001F038B" w:rsidTr="007D6B99">
        <w:trPr>
          <w:trHeight w:val="300"/>
        </w:trPr>
        <w:tc>
          <w:tcPr>
            <w:tcW w:w="9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c>
          <w:tcPr>
            <w:tcW w:w="845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r>
      <w:tr w:rsidR="00144A25" w:rsidRPr="001F038B" w:rsidTr="007D6B99">
        <w:trPr>
          <w:trHeight w:val="300"/>
        </w:trPr>
        <w:tc>
          <w:tcPr>
            <w:tcW w:w="98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A_STPR</w:t>
            </w:r>
          </w:p>
        </w:tc>
        <w:tc>
          <w:tcPr>
            <w:tcW w:w="845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Slabá integrační vazba - synergie mezi opatřeními strategie a opatřeními programových rámců</w:t>
            </w:r>
          </w:p>
        </w:tc>
      </w:tr>
      <w:tr w:rsidR="00144A25" w:rsidRPr="001F038B" w:rsidTr="007D6B99">
        <w:trPr>
          <w:trHeight w:val="300"/>
        </w:trPr>
        <w:tc>
          <w:tcPr>
            <w:tcW w:w="9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p>
        </w:tc>
        <w:tc>
          <w:tcPr>
            <w:tcW w:w="845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r>
      <w:tr w:rsidR="00144A25" w:rsidRPr="001F038B" w:rsidTr="007D6B99">
        <w:trPr>
          <w:trHeight w:val="300"/>
        </w:trPr>
        <w:tc>
          <w:tcPr>
            <w:tcW w:w="983"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B_STPR</w:t>
            </w:r>
          </w:p>
        </w:tc>
        <w:tc>
          <w:tcPr>
            <w:tcW w:w="845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Silná integrační vazba - podmíněnost mezi opatřeními  strategie a opatřeními programových rámců (věcná, časová, prostorová)</w:t>
            </w:r>
          </w:p>
        </w:tc>
      </w:tr>
    </w:tbl>
    <w:p w:rsidR="00144A25" w:rsidRDefault="00144A25" w:rsidP="00144A25"/>
    <w:p w:rsidR="00144A25" w:rsidRPr="007D6B99" w:rsidRDefault="00144A25" w:rsidP="00144A25">
      <w:pPr>
        <w:rPr>
          <w:rFonts w:ascii="Calibri" w:eastAsia="Times New Roman" w:hAnsi="Calibri" w:cs="Calibri"/>
          <w:color w:val="000000"/>
          <w:sz w:val="14"/>
          <w:szCs w:val="14"/>
          <w:lang w:eastAsia="cs-CZ"/>
        </w:rPr>
      </w:pPr>
      <w:r>
        <w:t xml:space="preserve">  </w:t>
      </w:r>
      <w:r w:rsidRPr="00AC6560">
        <w:rPr>
          <w:noProof/>
          <w:lang w:eastAsia="cs-CZ"/>
        </w:rPr>
        <w:drawing>
          <wp:inline distT="0" distB="0" distL="0" distR="0" wp14:anchorId="18D2AAA5" wp14:editId="64E93689">
            <wp:extent cx="621665" cy="197485"/>
            <wp:effectExtent l="0" t="0" r="6985" b="0"/>
            <wp:docPr id="692" name="Obrázek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197485"/>
                    </a:xfrm>
                    <a:prstGeom prst="rect">
                      <a:avLst/>
                    </a:prstGeom>
                    <a:noFill/>
                    <a:ln>
                      <a:noFill/>
                    </a:ln>
                  </pic:spPr>
                </pic:pic>
              </a:graphicData>
            </a:graphic>
          </wp:inline>
        </w:drawing>
      </w:r>
      <w:r>
        <w:t xml:space="preserve">  </w:t>
      </w:r>
      <w:r w:rsidRPr="007D6B99">
        <w:rPr>
          <w:rFonts w:ascii="Calibri" w:eastAsia="Times New Roman" w:hAnsi="Calibri" w:cs="Calibri"/>
          <w:color w:val="000000"/>
          <w:sz w:val="14"/>
          <w:szCs w:val="14"/>
          <w:lang w:eastAsia="cs-CZ"/>
        </w:rPr>
        <w:t>Nově doplněná provazba v rámci reakce na věcné hodnocení progra</w:t>
      </w:r>
      <w:r>
        <w:rPr>
          <w:rFonts w:ascii="Calibri" w:eastAsia="Times New Roman" w:hAnsi="Calibri" w:cs="Calibri"/>
          <w:color w:val="000000"/>
          <w:sz w:val="14"/>
          <w:szCs w:val="14"/>
          <w:lang w:eastAsia="cs-CZ"/>
        </w:rPr>
        <w:t>m</w:t>
      </w:r>
      <w:r w:rsidRPr="007D6B99">
        <w:rPr>
          <w:rFonts w:ascii="Calibri" w:eastAsia="Times New Roman" w:hAnsi="Calibri" w:cs="Calibri"/>
          <w:color w:val="000000"/>
          <w:sz w:val="14"/>
          <w:szCs w:val="14"/>
          <w:lang w:eastAsia="cs-CZ"/>
        </w:rPr>
        <w:t>ových rámců (březen 2017)</w:t>
      </w:r>
    </w:p>
    <w:p w:rsidR="00144A25" w:rsidRPr="001F038B" w:rsidRDefault="00144A25" w:rsidP="00144A25">
      <w:pPr>
        <w:spacing w:line="288" w:lineRule="auto"/>
        <w:jc w:val="both"/>
        <w:rPr>
          <w:b/>
          <w:bCs/>
          <w:color w:val="4F81BD" w:themeColor="accent1"/>
          <w:sz w:val="18"/>
          <w:szCs w:val="18"/>
        </w:rPr>
      </w:pPr>
      <w:r w:rsidRPr="001F038B">
        <w:rPr>
          <w:b/>
          <w:bCs/>
          <w:color w:val="4F81BD" w:themeColor="accent1"/>
          <w:sz w:val="18"/>
          <w:szCs w:val="18"/>
        </w:rPr>
        <w:t>Obrázek - Vzájemné integrační vazby mezi všemi opatřeními strategie a specificky opatřeními programových rámců</w:t>
      </w:r>
    </w:p>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Pr>
        <w:sectPr w:rsidR="00144A25" w:rsidRPr="001F038B" w:rsidSect="00AD6A11">
          <w:pgSz w:w="23814" w:h="16839" w:orient="landscape" w:code="8"/>
          <w:pgMar w:top="1417" w:right="1417" w:bottom="1417" w:left="1417" w:header="708" w:footer="708" w:gutter="0"/>
          <w:cols w:space="708"/>
          <w:docGrid w:linePitch="360"/>
        </w:sectPr>
      </w:pPr>
    </w:p>
    <w:p w:rsidR="00144A25" w:rsidRPr="001F038B" w:rsidRDefault="00144A25" w:rsidP="00144A25">
      <w:pPr>
        <w:spacing w:line="288" w:lineRule="auto"/>
        <w:jc w:val="both"/>
        <w:rPr>
          <w:b/>
          <w:bCs/>
          <w:color w:val="4F81BD" w:themeColor="accent1"/>
          <w:sz w:val="18"/>
          <w:szCs w:val="18"/>
        </w:rPr>
      </w:pPr>
      <w:r w:rsidRPr="001F038B">
        <w:rPr>
          <w:b/>
          <w:bCs/>
          <w:color w:val="4F81BD" w:themeColor="accent1"/>
          <w:sz w:val="18"/>
          <w:szCs w:val="18"/>
        </w:rPr>
        <w:t>Tabulka – Složená tabulka specifikací integračních vazeb mezi všemi opatřeními strategie a specificky opatřeními programových rámců</w:t>
      </w:r>
    </w:p>
    <w:tbl>
      <w:tblPr>
        <w:tblW w:w="9640" w:type="dxa"/>
        <w:tblInd w:w="55" w:type="dxa"/>
        <w:tblCellMar>
          <w:left w:w="70" w:type="dxa"/>
          <w:right w:w="70" w:type="dxa"/>
        </w:tblCellMar>
        <w:tblLook w:val="04A0" w:firstRow="1" w:lastRow="0" w:firstColumn="1" w:lastColumn="0" w:noHBand="0" w:noVBand="1"/>
      </w:tblPr>
      <w:tblGrid>
        <w:gridCol w:w="2100"/>
        <w:gridCol w:w="7540"/>
      </w:tblGrid>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1.1.1. Investice do pitné vody a čištění odpadních vod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projektů výstavby a obnovy kanalizace a ČOV mohou generovat dodatečné pracovní příležitosti a s využitím místních lidských zdrojů tak přispívat ke kvalitní infrastruktuře regionu.</w:t>
            </w:r>
          </w:p>
        </w:tc>
      </w:tr>
      <w:tr w:rsidR="00144A25" w:rsidRPr="001F038B" w:rsidTr="007D6B99">
        <w:trPr>
          <w:trHeight w:val="183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zadá nadlimitní veřejnou zakázku na zbudování kanalizace. Vítězná stavební firma nabídne dodatečné pracovní příležitosti obyvatelům regionu. Na takto vzniklá pracovní místa pak zaměstnavatel čerpá podporu z veřejných zdrojů.</w:t>
            </w:r>
            <w:r w:rsidRPr="001F038B">
              <w:rPr>
                <w:rFonts w:ascii="Calibri" w:eastAsia="Times New Roman" w:hAnsi="Calibri" w:cs="Calibri"/>
                <w:color w:val="000000"/>
                <w:sz w:val="20"/>
                <w:szCs w:val="20"/>
                <w:lang w:eastAsia="cs-CZ"/>
              </w:rPr>
              <w:br/>
              <w:t xml:space="preserve"> - Obec zadá nadlimitní veřejnou zakázku na rozšíření a zvýšení výkonnosti ČOV. Vítězná stavební firma je významným regionálním zaměstnavatelem nebo si najímá subdodavatele, který zaměstnává obyvatele regionu. Na takto vzniklá pracovní místa pak zaměstnavatel čerpá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A_STPR02</w:t>
            </w:r>
          </w:p>
        </w:tc>
      </w:tr>
      <w:tr w:rsidR="00144A25" w:rsidRPr="001F038B" w:rsidTr="007D6B99">
        <w:trPr>
          <w:trHeight w:val="57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1.2.1. Modernizace základních veřejných sítí a technologií pro veřejnou správu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projektů investic do inženýrských sítí mohou generovat dodatečné pracovní příležitosti a s využitím místních lidských zdrojů tak přispívat ke kvalitní infrastruktuře regionu.</w:t>
            </w:r>
          </w:p>
        </w:tc>
      </w:tr>
      <w:tr w:rsidR="00144A25" w:rsidRPr="001F038B" w:rsidTr="007D6B99">
        <w:trPr>
          <w:trHeight w:val="1813"/>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zadá veřejnou zakázku na modernizaci veřejného osvětlení. Vítězná stavební firma nabídne dodatečné pracovní příležitosti obyvatelům regionu. Na takto vzniklá pracovní místa pak zaměstnavatel čerpá podporu z veřejných zdrojů.</w:t>
            </w:r>
            <w:r w:rsidRPr="001F038B">
              <w:rPr>
                <w:rFonts w:ascii="Calibri" w:eastAsia="Times New Roman" w:hAnsi="Calibri" w:cs="Calibri"/>
                <w:color w:val="000000"/>
                <w:sz w:val="20"/>
                <w:szCs w:val="20"/>
                <w:lang w:eastAsia="cs-CZ"/>
              </w:rPr>
              <w:br/>
              <w:t xml:space="preserve"> - Obec zadá nadlimitní veřejnou zakázku na modernizaci vodovodu a posílení vodních zdrojů. Vítězná stavební firma je významným regionálním zaměstnavatelem nebo si najímá subdodavatele, který zaměstnává obyvatele regionu. Na takto vzniklá pracovní místa pak zaměstnavatel čerpá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A_STPR03</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3.1.1. Investice do zateplování a efektivních zdrojů vytápění veřejných budov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1.2.2.(A). Investice do akceschopnosti složek IZS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akceschopnosti složek IZS (např. JPO) často zahrnuje snižování energetické náročnosti jimi využívaných objektů. Prostřednictvím úspor neproduktivních nákladů na energie (resp. možnosti cíleného použití uvolněných zdrojů) takové investice přispívají ke zvyšování kvality veřejných nemovitostí a tím i efektivity těchto služeb pro občany.</w:t>
            </w:r>
          </w:p>
        </w:tc>
      </w:tr>
      <w:tr w:rsidR="00144A25" w:rsidRPr="001F038B" w:rsidTr="007D6B99">
        <w:trPr>
          <w:trHeight w:val="789"/>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obci dojde ke kompletnímu zateplení objektu požární zbrojnice a výměně zdroje vytápění za efektivnější. Díky tomu klesnou provozní náklady místní JPO a uspořené prostředky jsou využity na modernizaci vybavení pro řešení krizových situací.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7.1.1. Podpora aktivit místních spolků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1.2.2.(A). Investice do akceschopnosti složek IZS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35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Do činnosti jednotek požární ochrany na území MAS Rokytná je zapojeno velké množství dobrovolníků a SDH tradičně představují jednu z nejdůležitějších složek občanských aktivit v regionu. Investice do infrastruktury JPO tak pomáhají občanským aktivitám a zároveň zlepšují kvalitu nemovitostí a dalších (např. dopravních) prostředků sloužících k veřejným účelům.</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Díky nákupu nové hasičské cisterny s potřebnou kapacitou pro místní JPO kategorie III se zlepší akceschopnost jednotky ve smyslu zlepšení schopnosti včasného a efektivního zásahu u požárů ve spádové oblasti JPO.</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1.3.1. Investice do přípravy pozemků pro stavební využití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9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Příprava ploch pro podnikání, kterou provede veřejný sektor, může být důležitým stimulem pro rozvoj podnikání a zvyšování zaměstnanosti v regionu. Daná aktivita snižuje vstupní investiční náklady podnikání a podporuje podnikatelské prostředí v místě.</w:t>
            </w:r>
          </w:p>
        </w:tc>
      </w:tr>
      <w:tr w:rsidR="00144A25" w:rsidRPr="001F038B" w:rsidTr="007D6B99">
        <w:trPr>
          <w:trHeight w:val="104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Město investuje do revitalizace brownfieldu a v opraveném objektu nabídne prostory místní podnikatelům pro zahájení či rozvoj podnikatelské činnosti. </w:t>
            </w:r>
            <w:r w:rsidRPr="001F038B">
              <w:rPr>
                <w:rFonts w:ascii="Calibri" w:eastAsia="Times New Roman" w:hAnsi="Calibri" w:cs="Calibri"/>
                <w:color w:val="000000"/>
                <w:sz w:val="20"/>
                <w:szCs w:val="20"/>
                <w:lang w:eastAsia="cs-CZ"/>
              </w:rPr>
              <w:br/>
              <w:t xml:space="preserve"> - Obcí vybudované zázemí pro podnikatele motivuje významného zaměstnavatele k zřízení provozovny v daném městě, která nabídne nové pracovní místa.</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1.3.1. Investice do přípravy pozemků pro stavební využití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6.3.1.(A). Investice do infrastruktury pro služby vedoucí k sociální inkluzi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investic do ploch a prostor pro bydlení se může zaměřit specificky na vytváření kapacit pro rozvoj sociálního bydlení.</w:t>
            </w:r>
          </w:p>
        </w:tc>
      </w:tr>
      <w:tr w:rsidR="00144A25" w:rsidRPr="001F038B" w:rsidTr="007D6B99">
        <w:trPr>
          <w:trHeight w:val="583"/>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investuje do revitalizace zanedbaného objektu pro potřeby výstavby sociálních bytů, čímž se výrazně zvýší nabídka tohoto typu služeb pro sociální inkluzi.</w:t>
            </w:r>
            <w:r w:rsidRPr="001F038B">
              <w:rPr>
                <w:rFonts w:ascii="Calibri" w:eastAsia="Times New Roman" w:hAnsi="Calibri" w:cs="Calibri"/>
                <w:color w:val="000000"/>
                <w:sz w:val="20"/>
                <w:szCs w:val="20"/>
                <w:lang w:eastAsia="cs-CZ"/>
              </w:rPr>
              <w:br/>
              <w:t xml:space="preserve"> </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2.1.1. Zkapacitnění a modernizace silnice I/38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8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Na silnici č. I/38 je v některých obcích vhodné provést opatření zvyšující bezpečnost a komfort účastníků nemotorové dopravy a chodců, popř. modernizace zastávek hromadné dopravy.</w:t>
            </w:r>
          </w:p>
        </w:tc>
      </w:tr>
      <w:tr w:rsidR="00144A25" w:rsidRPr="001F038B" w:rsidTr="007D6B99">
        <w:trPr>
          <w:trHeight w:val="85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Budování a modernizace chodníků v obcích, kterými prochází frekventovaná komunikace I/38</w:t>
            </w:r>
            <w:r w:rsidRPr="001F038B">
              <w:rPr>
                <w:rFonts w:ascii="Calibri" w:eastAsia="Times New Roman" w:hAnsi="Calibri" w:cs="Calibri"/>
                <w:color w:val="000000"/>
                <w:sz w:val="20"/>
                <w:szCs w:val="20"/>
                <w:lang w:eastAsia="cs-CZ"/>
              </w:rPr>
              <w:br/>
              <w:t xml:space="preserve"> - Vybudování přechodů pro chodce, popř. podchodů křižujících komunikaci I/38</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2.2.1. Investice do silniční sítě regionu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Modernizace silnic bude probíhat s ohledem na zvyšování bezpečnosti </w:t>
            </w:r>
            <w:r w:rsidRPr="001F038B">
              <w:rPr>
                <w:rFonts w:ascii="Calibri" w:eastAsia="Times New Roman" w:hAnsi="Calibri" w:cs="Calibri"/>
                <w:color w:val="000000"/>
                <w:sz w:val="20"/>
                <w:szCs w:val="20"/>
                <w:lang w:eastAsia="cs-CZ"/>
              </w:rPr>
              <w:br/>
              <w:t>v dopravě, podporu nemotorové dopravy a další požadavky na kvalitní infrastruktury pro udržitelnou mobilitu v regionu.</w:t>
            </w:r>
          </w:p>
        </w:tc>
      </w:tr>
      <w:tr w:rsidR="00144A25" w:rsidRPr="001F038B" w:rsidTr="007D6B99">
        <w:trPr>
          <w:trHeight w:val="1324"/>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Budování a modernizace chodníků v obcích, kde hrozí nebezpečí pro chodce a další účastníky nemotorové dopravy; řešení bodových a liniových prvků v blízkosti frekventovaných míst, kolem kterých prochází silnice (školy, úřady, nádraží)</w:t>
            </w:r>
            <w:r w:rsidRPr="001F038B">
              <w:rPr>
                <w:rFonts w:ascii="Calibri" w:eastAsia="Times New Roman" w:hAnsi="Calibri" w:cs="Calibri"/>
                <w:color w:val="000000"/>
                <w:sz w:val="20"/>
                <w:szCs w:val="20"/>
                <w:lang w:eastAsia="cs-CZ"/>
              </w:rPr>
              <w:br/>
              <w:t xml:space="preserve"> - Stavební úpravy na silniční síti podporující komfort a bezpečnost veřejné dopravy (např. parkoviště pro návaznost individuální a hromadné dopravy)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2.2.1. Investice do silniční sítě regionu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projektů modernizace silniční sítě mohou generovat dodatečné pracovní příležitosti a s využitím místních lidských zdrojů tak přispívat ke zlepšování dopravní propojenosti regionu.</w:t>
            </w:r>
          </w:p>
        </w:tc>
      </w:tr>
      <w:tr w:rsidR="00144A25" w:rsidRPr="001F038B" w:rsidTr="007D6B99">
        <w:trPr>
          <w:trHeight w:val="1821"/>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zadá veřejnou zakázku na modernizaci místních komunikací. Vítězná stavební firma nabídne pracovní příležitosti obyvatelům regionu (stávající či noví zaměstnanci). Na takto vzniklá pracovní místa pak zaměstnavatel čerpá podporu z veřejných zdrojů.</w:t>
            </w:r>
            <w:r w:rsidRPr="001F038B">
              <w:rPr>
                <w:rFonts w:ascii="Calibri" w:eastAsia="Times New Roman" w:hAnsi="Calibri" w:cs="Calibri"/>
                <w:color w:val="000000"/>
                <w:sz w:val="20"/>
                <w:szCs w:val="20"/>
                <w:lang w:eastAsia="cs-CZ"/>
              </w:rPr>
              <w:br/>
              <w:t xml:space="preserve"> - Veřejná instituce zadá veřejnou zakázku na průběžnou údržbu komunikací III. třídy v území. Vítězná stavební firma je významným regionálním zaměstnavatelem nebo si najímá subdodavatele, který zaměstnává obyvatele regionu. Na takto vzniklá pracovní místa pak zaměstnavatel čerpá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A_STPR08</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2.2.1. Investice do silniční sítě regionu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Modernizace silniční sítě s ohledem na potřeby rozvoje podnikání v regionu zabezpečuje, že kvalitní infrastruktura bude  posilovat ekonomickou prosperitu regionu a zpětně tak generovat zdroje na svou obnovu a další modernizaci.</w:t>
            </w:r>
          </w:p>
        </w:tc>
      </w:tr>
      <w:tr w:rsidR="00144A25" w:rsidRPr="001F038B" w:rsidTr="007D6B99">
        <w:trPr>
          <w:trHeight w:val="11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zmodernizuje místní komunikaci, která vede k areálu využívanému místními podnikateli.</w:t>
            </w:r>
            <w:r w:rsidRPr="001F038B">
              <w:rPr>
                <w:rFonts w:ascii="Calibri" w:eastAsia="Times New Roman" w:hAnsi="Calibri" w:cs="Calibri"/>
                <w:color w:val="000000"/>
                <w:sz w:val="20"/>
                <w:szCs w:val="20"/>
                <w:lang w:eastAsia="cs-CZ"/>
              </w:rPr>
              <w:br/>
              <w:t xml:space="preserve"> - Krajský úřad investuje do opravy a zkapacitnění komunikace II. třídy propojující průmyslovou zónu s páteřní dopravní sítí.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B_STPR03</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2.3.1. Zlepšování bezpečnosti silnic a budování chodníků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Bezpečnost a uživatelských komfort motorové, nemotorové a specificky veřejné dopravy jsou úzce propojená a vzájemně ovlivněná témata, které je v nutné v konkrétní lokalitě řešit zároveň a optimalizovat současně.</w:t>
            </w:r>
          </w:p>
        </w:tc>
      </w:tr>
      <w:tr w:rsidR="00144A25" w:rsidRPr="001F038B" w:rsidTr="007D6B99">
        <w:trPr>
          <w:trHeight w:val="117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opraví povrch vozovky procházející intravilánem a zároveň doplní prvky na zvýšení bezpečnosti chodců - zvýšení a osvětlení přechodů, modernizace signalizace/značení apod.</w:t>
            </w:r>
            <w:r w:rsidRPr="001F038B">
              <w:rPr>
                <w:rFonts w:ascii="Calibri" w:eastAsia="Times New Roman" w:hAnsi="Calibri" w:cs="Calibri"/>
                <w:color w:val="000000"/>
                <w:sz w:val="20"/>
                <w:szCs w:val="20"/>
                <w:lang w:eastAsia="cs-CZ"/>
              </w:rPr>
              <w:br/>
              <w:t xml:space="preserve"> - V rámci modernizace místní komunikace v intravilánu je doplněn oddělený jízdní pruh pro cyklistickou dopravu.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A_STPR09</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3.5.1. Revitalizace veřejných prostranství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Investice zvyšování bezpečnosti v dopravě a do podpory nemotorové a veřejné dopravy zároveň podporují záměry a potřeby revitalizací veřejných prostranství. Tím je podporován rozvoj infrastruktury v souladu s nároky na estetiku a užitnou hodnotu veřejného prostoru.</w:t>
            </w:r>
          </w:p>
        </w:tc>
      </w:tr>
      <w:tr w:rsidR="00144A25" w:rsidRPr="001F038B" w:rsidTr="007D6B99">
        <w:trPr>
          <w:trHeight w:val="139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provede kompletní revitalizaci návsi a části přilehlých ulic s ohledem na zvýšení bezpečnosti chodců, cyklistů a dalších účastníků silničního provozu (nové přechody pro chodce, úprava profilu komunikace, stojany na kola a další prvky).</w:t>
            </w:r>
            <w:r w:rsidRPr="001F038B">
              <w:rPr>
                <w:rFonts w:ascii="Calibri" w:eastAsia="Times New Roman" w:hAnsi="Calibri" w:cs="Calibri"/>
                <w:color w:val="000000"/>
                <w:sz w:val="20"/>
                <w:szCs w:val="20"/>
                <w:lang w:eastAsia="cs-CZ"/>
              </w:rPr>
              <w:br/>
              <w:t xml:space="preserve"> - Obec modernizuje menší autobusové nádraží a přilehlé parkoviště pro osobní automobily. Tím výrazně zvýší užitnou a estetickou hodnotu veřejného prostranství ve svém intravilánu.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6.6.1. Zajištění kvalitního pokrytí území veřejnou dopravou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Moderní teminály usnadňující návaznost individuální (motorové i nemotorové) dopravy na dopravu veřejnou významně zvyšují užitnou hodnotu a komfort veřejné dopravy </w:t>
            </w:r>
            <w:r w:rsidRPr="001F038B">
              <w:rPr>
                <w:rFonts w:ascii="Calibri" w:eastAsia="Times New Roman" w:hAnsi="Calibri" w:cs="Calibri"/>
                <w:color w:val="000000"/>
                <w:sz w:val="20"/>
                <w:szCs w:val="20"/>
                <w:lang w:eastAsia="cs-CZ"/>
              </w:rPr>
              <w:br/>
              <w:t xml:space="preserve">a zlepšují dopravní možnosti v regionu. Naopak bez funkčního hmotného zázemí nelze dosáhnout potřebné kvality a žádoucí míry využívání veřejné dopravy. </w:t>
            </w:r>
          </w:p>
        </w:tc>
      </w:tr>
      <w:tr w:rsidR="00144A25" w:rsidRPr="001F038B" w:rsidTr="007D6B99">
        <w:trPr>
          <w:trHeight w:val="19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zrekonstruuje autobusové nádraží a autobusové zastávky ve svém katastru a v rámci investice zlepší také kapacitu, bezpečnost a komfort pro parkování osobních automobilů. Tím usnadní návaznost veřejné dopravy na individuální a přispěje ke zvýšení počtu uživatelů veřejné dopravy.</w:t>
            </w:r>
            <w:r w:rsidRPr="001F038B">
              <w:rPr>
                <w:rFonts w:ascii="Calibri" w:eastAsia="Times New Roman" w:hAnsi="Calibri" w:cs="Calibri"/>
                <w:color w:val="000000"/>
                <w:sz w:val="20"/>
                <w:szCs w:val="20"/>
                <w:lang w:eastAsia="cs-CZ"/>
              </w:rPr>
              <w:br/>
              <w:t xml:space="preserve"> - Obec instaluje na zastávky veřejné dopravy elektronický informační systém zobrazující informace o spojích, mimořádných událostech (např. výluky, zpoždění), návaznostech apod. Tím zvýší uživatelský komfort veřejné dopravy.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A_STPR10</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3.4.1.(A). Investice do revitalizace hmotných památek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3.1.1. Investice do zateplování a efektivních zdrojů vytápění veřejných budov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Modernizace veřejných budov přispívá v některých případech k revitalizaci památkových objektů, jejichž stav ovlivňuje estetiku veřejného prostoru .Tím je podporován rozvoj infrastruktury v souladu s nároky na zvyšování estetiky životního prostředí v obcích a ochrany památek.</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Budova obecního úřadu je historicky cennou stavbou a její rekonstrukce zaměřená na snížení energetické náročnosti (výměna oken a dveří) kromě přínosů pro fungování obecního úřadu znamená také vyřešení havarijního stavu této nemovité památky.</w:t>
            </w:r>
            <w:r w:rsidRPr="001F038B">
              <w:rPr>
                <w:rFonts w:ascii="Calibri" w:eastAsia="Times New Roman" w:hAnsi="Calibri" w:cs="Calibri"/>
                <w:color w:val="000000"/>
                <w:sz w:val="20"/>
                <w:szCs w:val="20"/>
                <w:lang w:eastAsia="cs-CZ"/>
              </w:rPr>
              <w:br/>
              <w:t xml:space="preserve"> </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3.1.1. Investice do zateplování a efektivních zdrojů vytápění veřejných budov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projektů snižování energetické náročnosti veřejných budov mohou generovat dodatečné pracovní příležitosti a s využitím místních lidských zdrojů tak přispívat ke kvalitní veřejné infrastruktuře regionu.</w:t>
            </w:r>
          </w:p>
        </w:tc>
      </w:tr>
      <w:tr w:rsidR="00144A25" w:rsidRPr="001F038B" w:rsidTr="007D6B99">
        <w:trPr>
          <w:trHeight w:val="219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zadá nadlimitní veřejnou zakázku na kompletní zateplení a výměnu oken/dveří veřejného objektu. Vítězná stavební firma nabídne dodatečné pracovní příležitosti obyvatelům regionu.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Obec zadá veřejnou zakázku na snížení energetické náročnosti budovy obecního úřadu vč. zateplení a výměny zdroje vytápění.  Vítězná stavební firma je významným regionálním zaměstnavatelem nebo si najímá subdodavatele, který zaměstnává obyvatele regionu.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6.3.1.(A). Investice do infrastruktury pro služby vedoucí k sociální inkluzi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3.1.1. Investice do zateplování a efektivních zdrojů vytápění veřejných budov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59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Některé veřejné budovy na území MAS slouží mj. jako zázemí pro poskytování sociálních a dalších služeb zaměřených na prevenci a řešení sociálního vyloučení. Investice do snižování energetické náročnosti těchto budov mají pro dané služby dvojí benefit: zaprvé, uspořené náklady na energie lze uvolnit na další zkvalitňování sociálních služeb a za druhé, projekty zvyšování energetické efektivity často zároveň vedou ke zvýšení estetické a částečně i uživatelské hodnoty modernizovaných nemovitostí.</w:t>
            </w:r>
          </w:p>
        </w:tc>
      </w:tr>
      <w:tr w:rsidR="00144A25" w:rsidRPr="001F038B" w:rsidTr="007D6B99">
        <w:trPr>
          <w:trHeight w:val="112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Obec sníží energetickou náročnost svého objektu obecního úřadu, jehož část je zároveň využívána jako zařízení pro poskytování sociálních služeb.</w:t>
            </w:r>
            <w:r w:rsidRPr="001F038B">
              <w:rPr>
                <w:rFonts w:ascii="Calibri" w:eastAsia="Times New Roman" w:hAnsi="Calibri" w:cs="Calibri"/>
                <w:color w:val="000000"/>
                <w:sz w:val="20"/>
                <w:szCs w:val="20"/>
                <w:lang w:eastAsia="cs-CZ"/>
              </w:rPr>
              <w:br/>
              <w:t xml:space="preserve"> - Obec zrekonstruuje bývalý kulturní dům, jehož část využije ke zřízení několika sociálních bytů.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A_STPR13</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3.2.1. Investice do zateplování a efektivních zdrojů vytápění soukromých budov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projektů snižování energetické náročnosti soukromých budov (pro podnikání, bydlení apod.) mohou generovat dodatečné pracovní příležitosti a s využitím místních lidských zdrojů tak přispívat ke zvyšování kvality bydlení v regionu.</w:t>
            </w:r>
          </w:p>
        </w:tc>
      </w:tr>
      <w:tr w:rsidR="00144A25" w:rsidRPr="001F038B" w:rsidTr="007D6B99">
        <w:trPr>
          <w:trHeight w:val="16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Program tzv. kotlíkových dotací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Program dotační podpory zateplování domů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investic v oblasti dopravy (úpravy místních komunikací, nádraží, cyklostezky) mohou generovat dodatečné pracovní příležitosti a s využitím místních lidských zdrojů tak přispívat ke zvyšování kvality dopravní infrastruktury v regionu.</w:t>
            </w:r>
          </w:p>
        </w:tc>
      </w:tr>
      <w:tr w:rsidR="00144A25" w:rsidRPr="001F038B" w:rsidTr="007D6B99">
        <w:trPr>
          <w:trHeight w:val="17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místní komunikace v obci zaměřená na zvýšení bezpečnosti účastníků silničního provozu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Modernizace autobusového nádraží a přilehlého zázemí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3.4.1.(A). Investice do revitalizace hmotných památek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3.5.1. Revitalizace veřejných prostranství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6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Investice do obnovy nemovitých památek a dalších objektů přispívají ke zkvalitnění veřejných prostranství a celkově k estetice venkovské krajiny.</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historického objektu v centru obce vč. revitalizace přilehlého pozemku významně zvýší kvalitu veřejného prostranství.</w:t>
            </w:r>
            <w:r w:rsidRPr="001F038B">
              <w:rPr>
                <w:rFonts w:ascii="Calibri" w:eastAsia="Times New Roman" w:hAnsi="Calibri" w:cs="Calibri"/>
                <w:color w:val="000000"/>
                <w:sz w:val="20"/>
                <w:szCs w:val="20"/>
                <w:lang w:eastAsia="cs-CZ"/>
              </w:rPr>
              <w:br/>
              <w:t xml:space="preserve"> - Rekonstrukce části zámku přístupné veřejnosti zvýší estetičnost důležitého veřejného prostranství v centru obce.</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3.4.1.(A). Investice do revitalizace hmotných památek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investic do významnějších oprav památek mohou generovat dodatečné pracovní příležitosti a s využitím lokálních lidských zdrojů tak přispívat k zachování místního kulturního dědictví.</w:t>
            </w:r>
          </w:p>
        </w:tc>
      </w:tr>
      <w:tr w:rsidR="00144A25" w:rsidRPr="001F038B" w:rsidTr="007D6B99">
        <w:trPr>
          <w:trHeight w:val="160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zámku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Rekonstrukce parku kolem významné historické památky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3.4.1.(A). Investice do revitalizace hmotných památek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4.4.1. Investice do nabídky v oblasti cestovního ruchu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3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Revitalizace nemovitých památek a dalších objektů přispívají k rozvoji cestovního ruchu </w:t>
            </w:r>
            <w:r w:rsidRPr="001F038B">
              <w:rPr>
                <w:rFonts w:ascii="Calibri" w:eastAsia="Times New Roman" w:hAnsi="Calibri" w:cs="Calibri"/>
                <w:color w:val="000000"/>
                <w:sz w:val="20"/>
                <w:szCs w:val="20"/>
                <w:lang w:eastAsia="cs-CZ"/>
              </w:rPr>
              <w:br/>
              <w:t>v regionu. Podobná opatření při vhodném provedení přispívají k zachování hmotného kulturního dědictví regionu (zachovalé památky jsou jednou z podmínek pro dlouhodobou turistickou atraktivitu území).</w:t>
            </w:r>
          </w:p>
        </w:tc>
      </w:tr>
      <w:tr w:rsidR="00144A25" w:rsidRPr="001F038B" w:rsidTr="007D6B99">
        <w:trPr>
          <w:trHeight w:val="108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části významného zámku přispěje ke zvýšení návštěvnosti této památky a regionu jako celku.</w:t>
            </w:r>
            <w:r w:rsidRPr="001F038B">
              <w:rPr>
                <w:rFonts w:ascii="Calibri" w:eastAsia="Times New Roman" w:hAnsi="Calibri" w:cs="Calibri"/>
                <w:color w:val="000000"/>
                <w:sz w:val="20"/>
                <w:szCs w:val="20"/>
                <w:lang w:eastAsia="cs-CZ"/>
              </w:rPr>
              <w:br/>
              <w:t xml:space="preserve"> - Ukončení rekonstrukce významné památky zajistí objektu pozitivní publicitu a přispěje ke zvýšení zájmu o dané místo a jeho okolí.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3.5.1. Revitalizace veřejných prostranství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investic do revitalizací veřejných prostranství mohou generovat dodatečné pracovní příležitosti a s využitím lokálních lidských zdrojů tak přispívat k funkčnosti a estetice veřejného prostoru.</w:t>
            </w:r>
          </w:p>
        </w:tc>
      </w:tr>
      <w:tr w:rsidR="00144A25" w:rsidRPr="001F038B" w:rsidTr="007D6B99">
        <w:trPr>
          <w:trHeight w:val="15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náměstí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Rekonstrukce parku a chodníků v přilehlých ulicích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4.1.1. Zvyšování zaměstnanosti prostřednictvím investic do lidských zdrojů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opatření zaměřených na zvyšování zaměstnanosti prostřednictvím investic do lidských zdrojů jsou nezbytným doplňkem navazujících aktivit v oblasti veřejných podmínek pro nárůst zaměstnanosti.</w:t>
            </w:r>
          </w:p>
        </w:tc>
      </w:tr>
      <w:tr w:rsidR="00144A25" w:rsidRPr="001F038B" w:rsidTr="007D6B99">
        <w:trPr>
          <w:trHeight w:val="14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Zjišťování potřeb zaměstnavatelů na trhu práce je nezbytnou podmínkou pro vhodné nastavení podpory rekvalifikačních, vzdělávacích a dalších podpůrných programů.</w:t>
            </w:r>
            <w:r w:rsidRPr="001F038B">
              <w:rPr>
                <w:rFonts w:ascii="Calibri" w:eastAsia="Times New Roman" w:hAnsi="Calibri" w:cs="Calibri"/>
                <w:color w:val="000000"/>
                <w:sz w:val="20"/>
                <w:szCs w:val="20"/>
                <w:lang w:eastAsia="cs-CZ"/>
              </w:rPr>
              <w:br/>
              <w:t xml:space="preserve"> - Podpora začínajících podnikatelů na krajské, popř. obecní úrovni musí být provázána s dalšími druhy veřejné podpory pro nárůst zaměstnanosti (např. nastavení pravidel pro dotovaná pracovní místa).</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A_STPR18</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4.1.1. Zvyšování zaměstnanosti prostřednictvím investic do lidských zdrojů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6.1.1. Investice do kapacit a kvality škol a školek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9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vzdělávání již od úrovně základních škol by měla být zaměřena na rozvoj vhodných obecných kompetencí vyžadovaných na trhu práce (např. schopnost sebeorganizace), ale také na motivaci zájmu o dlouhodobě nedostatkové oborové kompetence vyžadované trhem práce (např. nárůst zájmu o technické obory nebo cizí jazyky).</w:t>
            </w:r>
          </w:p>
        </w:tc>
      </w:tr>
      <w:tr w:rsidR="00144A25" w:rsidRPr="001F038B" w:rsidTr="007D6B99">
        <w:trPr>
          <w:trHeight w:val="109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Na základě zjištění o dlouhodobém a dále očekávaném nedostatku odborníků v technických oborech na trhu práce je podporována modernizace odborných technických učeben na základních školách, která (spolu s dalšími opatřeními jako je lepší vzdělávání pedagogů) může žáky motivovat k většímu zájmu o studium daných oborů.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4.2.2.(A). Podpora pro-rodinných opatření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Významná část pro-rodinných opatření je zaměřená na zlepšování zaměstnatelnosti především rodičů pečujících o nezletilé děti. Proto musejí být veřejné podpory podmínek pro nárůst zaměstnatelnosti nastaveny s ohledem na opatření vedoucí k možnosti zaměstnání rodičů nezletilých dětí.</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Pravidla umístění na podporovaná pracovní místa zohledňují potřeby osob pečujících o nezletilé děti (např. otevírací doby školek, disponibilita příměstských táborů atd.)</w:t>
            </w:r>
            <w:r w:rsidRPr="001F038B">
              <w:rPr>
                <w:rFonts w:ascii="Calibri" w:eastAsia="Times New Roman" w:hAnsi="Calibri" w:cs="Calibri"/>
                <w:color w:val="000000"/>
                <w:sz w:val="20"/>
                <w:szCs w:val="20"/>
                <w:lang w:eastAsia="cs-CZ"/>
              </w:rPr>
              <w:br/>
              <w:t xml:space="preserve"> - Naopak pro rodinná opatření (dětské skupiny, příměstské tábory) respektují nároky a potřeby na zaměstnání rodičů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A_STPR19</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Některé typy podpory nezemědělských aktivit místních podnikatelů generují nové pracovní příležitosti, které jsou předpokladem ekonomické prosperity regionu).</w:t>
            </w:r>
          </w:p>
        </w:tc>
      </w:tr>
      <w:tr w:rsidR="00144A25" w:rsidRPr="001F038B" w:rsidTr="007D6B99">
        <w:trPr>
          <w:trHeight w:val="13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Malý podnik obdrží podporu na investici do nového strojního vybavení. Díky tomu podnik rozšíří výrobu a vytvoří nová pracovní místa.</w:t>
            </w:r>
            <w:r w:rsidRPr="001F038B">
              <w:rPr>
                <w:rFonts w:ascii="Calibri" w:eastAsia="Times New Roman" w:hAnsi="Calibri" w:cs="Calibri"/>
                <w:color w:val="000000"/>
                <w:sz w:val="20"/>
                <w:szCs w:val="20"/>
                <w:lang w:eastAsia="cs-CZ"/>
              </w:rPr>
              <w:br/>
              <w:t xml:space="preserve"> - Středně velký podnik obdrží podporu na technologickou inovaci výrobního procesu. Tato inovace umožní snížení jednotkových nákladů a v důsledku toho navýšení prodeje (výstup). Na navýšení produkce se váže zvýšení poptávky podniku po pracovní síle (vstup).</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B_STPR08</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4.5.1.(A). Podpora zázemí sociálních podniků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V rámci podpory vzniku pracovních míst je potřeba podporovat také specificky sociální podnikání - zaměstnání osob ohrožených sociálním vyloučením přispívá k všestrannému rozvoji místní ekonomiky, který nevynechává uvedené skupiny obyvatel (princip rovných příležitostí).</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Sociálnímu podniku je poskytnuta podpora na pořízení vybavení, díky kterému dojde </w:t>
            </w:r>
            <w:r w:rsidRPr="001F038B">
              <w:rPr>
                <w:rFonts w:ascii="Calibri" w:eastAsia="Times New Roman" w:hAnsi="Calibri" w:cs="Calibri"/>
                <w:color w:val="000000"/>
                <w:sz w:val="20"/>
                <w:szCs w:val="20"/>
                <w:lang w:eastAsia="cs-CZ"/>
              </w:rPr>
              <w:br/>
              <w:t>k vytvoření pracovního místa, které bude obsazeno osobou ohroženou vyloučením na trhu práce.</w:t>
            </w:r>
            <w:r w:rsidRPr="001F038B">
              <w:rPr>
                <w:rFonts w:ascii="Calibri" w:eastAsia="Times New Roman" w:hAnsi="Calibri" w:cs="Calibri"/>
                <w:color w:val="000000"/>
                <w:sz w:val="20"/>
                <w:szCs w:val="20"/>
                <w:lang w:eastAsia="cs-CZ"/>
              </w:rPr>
              <w:br/>
              <w:t xml:space="preserve"> - Sociální podnik získá podporu na rekonstrukci prostor k poskytování služeb (např. prádelna). Díky tomu je schopen vytvořit několik nových pracovních míst.</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B_STPR09</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V rámci podpory vzniku pracovních míst je potřeba podporovat také specificky sociální podnikání - zaměstnání osob ohrožených sociálním vyloučením přispívá k všestrannému rozvoji místní ekonomiky, který nevynechává uvedené skupiny obyvatel (princip rovných příležitostí).</w:t>
            </w:r>
          </w:p>
        </w:tc>
      </w:tr>
      <w:tr w:rsidR="00144A25" w:rsidRPr="001F038B" w:rsidTr="007D6B99">
        <w:trPr>
          <w:trHeight w:val="133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24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Sociálnímu podniku je poskytnuta podpora mzdové náklady na pracovním místo, které bude obsazeno osobou ohroženou vyloučením na trhu práce.</w:t>
            </w:r>
            <w:r w:rsidRPr="001F038B">
              <w:rPr>
                <w:rFonts w:ascii="Calibri" w:eastAsia="Times New Roman" w:hAnsi="Calibri" w:cs="Calibri"/>
                <w:color w:val="000000"/>
                <w:sz w:val="20"/>
                <w:szCs w:val="20"/>
                <w:lang w:eastAsia="cs-CZ"/>
              </w:rPr>
              <w:br/>
              <w:t xml:space="preserve"> - Sociální může vytvořit dodatečné pracovní místo díky specializované podpoře svých zaměstnanců - např. pokrytí mzdy vedoucího výroby, který pracuje se znevýhodněnou cílovou skupinou.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A_STPR20</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6.3.2.(A). Podpora poskytování sociálních a inkluzivních služeb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zaměstnanosti jako nástroje sociální inkluze je významným předpokladem pro udržitelný rozvoj regionu, který se týká všech skupin obyvatel.</w:t>
            </w:r>
          </w:p>
        </w:tc>
      </w:tr>
      <w:tr w:rsidR="00144A25" w:rsidRPr="001F038B" w:rsidTr="007D6B99">
        <w:trPr>
          <w:trHeight w:val="108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Součástí na inkluzi zaměřených služeb pro osoby v produktivním věku je nabídka možností získání zaměstnání spolu s případnou asistencí v této oblasti.</w:t>
            </w:r>
            <w:r w:rsidRPr="001F038B">
              <w:rPr>
                <w:rFonts w:ascii="Calibri" w:eastAsia="Times New Roman" w:hAnsi="Calibri" w:cs="Calibri"/>
                <w:color w:val="000000"/>
                <w:sz w:val="20"/>
                <w:szCs w:val="20"/>
                <w:lang w:eastAsia="cs-CZ"/>
              </w:rPr>
              <w:br/>
              <w:t xml:space="preserve"> - Preventivní vzdělávací programy s cílem sociální inkluze zahrnují významnou část věnovanou zaměstnanosti - získání a udržení zaměstnání.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B_STPR10</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4.2.2.(A). Podpora pro-rodinných opatření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6.1.1.(A). Investice do kapacit a kvality škol a školek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efektivních pro-rodinných opatření ve smyslu zajištění odpovídající péče o nezletilé děti pracujících rodičů je podmíněna dostupností dostatečných hmotných a lidských kapacit mateřských a základních škol.</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Rozšíření kapacity mateřské školy, které umožní umísťování dětí od 2,5 roku věku</w:t>
            </w:r>
            <w:r w:rsidRPr="001F038B">
              <w:rPr>
                <w:rFonts w:ascii="Calibri" w:eastAsia="Times New Roman" w:hAnsi="Calibri" w:cs="Calibri"/>
                <w:color w:val="000000"/>
                <w:sz w:val="20"/>
                <w:szCs w:val="20"/>
                <w:lang w:eastAsia="cs-CZ"/>
              </w:rPr>
              <w:br/>
              <w:t xml:space="preserve"> - Podpora zázemí mateřské školy, které umožní kvalitní celodenní péči o děti.</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4.3.2. Investice do znalostní ekonomiky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Podpora nezemědělských podnikatelských aktivit má být doprovázena sdílením know-how </w:t>
            </w:r>
            <w:r w:rsidRPr="001F038B">
              <w:rPr>
                <w:rFonts w:ascii="Calibri" w:eastAsia="Times New Roman" w:hAnsi="Calibri" w:cs="Calibri"/>
                <w:color w:val="000000"/>
                <w:sz w:val="20"/>
                <w:szCs w:val="20"/>
                <w:lang w:eastAsia="cs-CZ"/>
              </w:rPr>
              <w:br/>
              <w:t>v místní ekonomice, minimálně formou informování veřejnosti o výsledku podpory. Šíření know-how je předpokladem pro zvyšování konkurenceschopnosti podnikatelů a tím i pro rozvoj ekonomického potenciálu regionu.</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Místní podnikatel získá podporu na pořízení nové technologie. V materiálech MAS jsou uvedeny základní informace o této technologii dosažené provozní efektivitě.</w:t>
            </w:r>
            <w:r w:rsidRPr="001F038B">
              <w:rPr>
                <w:rFonts w:ascii="Calibri" w:eastAsia="Times New Roman" w:hAnsi="Calibri" w:cs="Calibri"/>
                <w:color w:val="000000"/>
                <w:sz w:val="20"/>
                <w:szCs w:val="20"/>
                <w:lang w:eastAsia="cs-CZ"/>
              </w:rPr>
              <w:br/>
              <w:t xml:space="preserve"> - Vyhlašované dotační výzvy jsou doprovázeny semináři pro žadateli zaměřenými mj. na inovační potenciál výzvy/podpory (např. příklady dobré praxe).</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4.4.1. Investice do nabídky v oblasti cestovního ruchu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nezemědělských činností může mít ve specifických případech pozitivní vliv na zlepšování infrastruktury pro cestovní ruch a tím přispívat k prosperitě území.</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Podnikatel obdrží podporu na modernizaci ubytovacích kapacit penzionu</w:t>
            </w:r>
            <w:r w:rsidRPr="001F038B">
              <w:rPr>
                <w:rFonts w:ascii="Calibri" w:eastAsia="Times New Roman" w:hAnsi="Calibri" w:cs="Calibri"/>
                <w:color w:val="000000"/>
                <w:sz w:val="20"/>
                <w:szCs w:val="20"/>
                <w:lang w:eastAsia="cs-CZ"/>
              </w:rPr>
              <w:br/>
              <w:t xml:space="preserve"> - Malá firma obdrží dotaci na investici do modernizace zázemí pro sportovní využití klientů hotelu.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A_STPR23</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6.4.1. Zkvalitňování služeb pro občany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Zaměření podpory nezemědělských aktivit místních podnikatelů může zohledňovat také posouzení, zda a do jaké míry činnost podpořeného podnikatele doplňuje základní  služby pro občany v místě. Dostupnost základních služeb pro občany v místě je jednou z podmínek ekonomického fungování regionu.</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Podnikatelský subjekt provozující jedinou prodejnu základních potravin v obci obdrží podporu na modernizaci provozovny a jejího zázemí.</w:t>
            </w:r>
            <w:r w:rsidRPr="001F038B">
              <w:rPr>
                <w:rFonts w:ascii="Calibri" w:eastAsia="Times New Roman" w:hAnsi="Calibri" w:cs="Calibri"/>
                <w:color w:val="000000"/>
                <w:sz w:val="20"/>
                <w:szCs w:val="20"/>
                <w:lang w:eastAsia="cs-CZ"/>
              </w:rPr>
              <w:br/>
              <w:t xml:space="preserve"> - Podnikatel zajišťující dopravní spojení pro starší občany bez vlastního automobilu při dojížďce za službami obdrží podporu na pořízení nového automobilu.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3.2.1. Investice do zateplování a efektivních zdrojů vytápění soukromých budov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nezemědělských podnikatelů může zahrnovat snižování energetické náročnosti jejich provozoven - zateplování budov, výměny oken a dveří, nahrazování neefektivních a neekologických zdrojů vytápění.</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Podnikatel obdrží podporu na zateplení provozovny vč. výměny oken a dveří.</w:t>
            </w:r>
            <w:r w:rsidRPr="001F038B">
              <w:rPr>
                <w:rFonts w:ascii="Calibri" w:eastAsia="Times New Roman" w:hAnsi="Calibri" w:cs="Calibri"/>
                <w:color w:val="000000"/>
                <w:sz w:val="20"/>
                <w:szCs w:val="20"/>
                <w:lang w:eastAsia="cs-CZ"/>
              </w:rPr>
              <w:br/>
              <w:t xml:space="preserve"> - Malý výrobní podnik čerpá podporu na zvýšení efektivity vytápění provozu a snížení emisí.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4.5.3. Zvyšování dopadu činnosti místních neziskových organizací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63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Projektová podpora činnosti neziskových organizací s prokazatelným společenským přínosem má pozitivní vliv na zaměstnanost a vytváří kvalifikované pracovní příležitosti v regionu.</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Nezisková organizace realizující sociální sužby obdrží dotační podporu, díky které udrží dvě kvalifikovaná pracovní místa.</w:t>
            </w:r>
            <w:r w:rsidRPr="001F038B">
              <w:rPr>
                <w:rFonts w:ascii="Calibri" w:eastAsia="Times New Roman" w:hAnsi="Calibri" w:cs="Calibri"/>
                <w:color w:val="000000"/>
                <w:sz w:val="20"/>
                <w:szCs w:val="20"/>
                <w:lang w:eastAsia="cs-CZ"/>
              </w:rPr>
              <w:br/>
              <w:t xml:space="preserve"> - Spolek pracující s mládeží v oblasti sportu obdrží podporu od obce a díky ní může na částečný úvazek zaměstnat koordinátora programů.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 Podpora činností vedoucích k rozvoji sociálních podniků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4.3.2. Investice do znalostní ekonomiky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91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Sociální podnikání je na území MAS relativně novým konceptem a si proto jeho zavádění vyžaduje přenos znalostí o dobré praxi, vzdělávání a další znalosti či dovednosti zvyšující šance podnikatelských záměrů na úspěch.</w:t>
            </w:r>
          </w:p>
        </w:tc>
      </w:tr>
      <w:tr w:rsidR="00144A25" w:rsidRPr="001F038B" w:rsidTr="007D6B99">
        <w:trPr>
          <w:trHeight w:val="5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Sociální podnik obdrží podporu na zřízení pracovních míst. Vedoucí pracovníci toto podniku absolvují vzdělávací kurz zaměřený na management sociálního podnikání.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B_STPR11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4.5.1.(A). Podpora zázemí sociálních podniků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Investiční projekty zaměřené na modernizaci stávajících či zřízení nových provozů sociálních podniků musejí zohledňovat hlavní cíl činnosti sociálních podniků - řešení společenských problémů za pomoci podnikatelské činnosti a tím přispívat k prosperitě a dostatku pracovních míst v regionu. Obě opatření jsou zároveň komplementární z hlediska ekonomické návratnosti investic.</w:t>
            </w:r>
          </w:p>
        </w:tc>
      </w:tr>
      <w:tr w:rsidR="00144A25" w:rsidRPr="001F038B" w:rsidTr="007D6B99">
        <w:trPr>
          <w:trHeight w:val="165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Podpora rekonstrukce kavárny zaměstnávající osoby znevýhodněné na trhu práce reflektuje specifické potřeby cílové skupiny - např. umožňuje bezbariérový přístup, poskytuje dostatek prostoru pro vozíčkáře apod.</w:t>
            </w:r>
            <w:r w:rsidRPr="001F038B">
              <w:rPr>
                <w:rFonts w:ascii="Calibri" w:eastAsia="Times New Roman" w:hAnsi="Calibri" w:cs="Calibri"/>
                <w:color w:val="000000"/>
                <w:sz w:val="20"/>
                <w:szCs w:val="20"/>
                <w:lang w:eastAsia="cs-CZ"/>
              </w:rPr>
              <w:br/>
              <w:t xml:space="preserve"> - Sociální podnik obdrží investiční podporu na zřízení a vybavení chráněné dílny. Ekonomické přežití sociálního podniku však umožní až komplementární podpora na udržení 5 pracovních míst pro znevýhodněné, která zajistí překonání počátečního období provozní ztráty.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 (strategie, PR)</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6.3.2.(A). Podpora poskytování sociálních a inkluzivních služeb (strategie, PR)</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sociální inkluze formou podpory sociálního podnikání přispívá k dopadu nabízených inkluzivních sociálních služeb na území MAS. Nabídka sociálních a dalších služeb vedoucích k sociální inkluzi je vhodně doplňována nabídkou pracovních příležitostí v sociálních podnicích.</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Klienti využívající inkluzivní sociální služby konkrétního centra mají možnost získat pracovní uplatnění v nedalekém sociálním podniku.</w:t>
            </w:r>
            <w:r w:rsidRPr="001F038B">
              <w:rPr>
                <w:rFonts w:ascii="Calibri" w:eastAsia="Times New Roman" w:hAnsi="Calibri" w:cs="Calibri"/>
                <w:color w:val="000000"/>
                <w:sz w:val="20"/>
                <w:szCs w:val="20"/>
                <w:lang w:eastAsia="cs-CZ"/>
              </w:rPr>
              <w:br/>
              <w:t xml:space="preserve"> - Podpořené inkluzivní služby zahrnují mj. pracovní terapii a jejich poskytovatel spolupracuje se sociálním podnikem, kde mohou klienti pracovat.</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A_STPR28</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4.5.3. Zvyšování dopadu činnosti místních neziskových organizací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Některé sociální podniky jsou majetkově provázány s neziskovou organizací, která je částečně financována z výnosů ze sociálního podnikání. Podpora sociálního podnikání neziskových organizací tak posiluje jejich finanční samostatnost a udržitelnost jejich pozitivního společenského dopadu.</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Nezisková organizace pomáhající zdravotně hendikepovaných založí integrační sociální podnik, který klienty organizace zaměstnává ve výrobě drobných předmětů.</w:t>
            </w:r>
            <w:r w:rsidRPr="001F038B">
              <w:rPr>
                <w:rFonts w:ascii="Calibri" w:eastAsia="Times New Roman" w:hAnsi="Calibri" w:cs="Calibri"/>
                <w:color w:val="000000"/>
                <w:sz w:val="20"/>
                <w:szCs w:val="20"/>
                <w:lang w:eastAsia="cs-CZ"/>
              </w:rPr>
              <w:br/>
              <w:t xml:space="preserve"> -  Díky vzdělávání v oblasti podnikání v rámci dceřiného sociálního podniku získají pracovníci neziskové organizace nové kompetence, které jim pomohou zefektivnit svou práci a zvýšit společenský dopad.</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A_STPR29</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4.6.1.(A). Podpora konkurenceschopnosti místních zemědělců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4.6.3. Podpora konkurenceschopnosti zpracování zemědělských produktů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4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Obě opatření jsou provázaná ve smyslu možných synergií plynoucích z propojení zemědělské prvovýroby a zpracování jejích produktů. Při vhodně nastavené podpoře pak může být větší část přidané hodnoty generována primárním producentem.</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Pěstitel zemědělské plodiny získá podporu na zařízení pro její další zpracování produkce - mytí, balení, vážení apod. </w:t>
            </w:r>
            <w:r w:rsidRPr="001F038B">
              <w:rPr>
                <w:rFonts w:ascii="Calibri" w:eastAsia="Times New Roman" w:hAnsi="Calibri" w:cs="Calibri"/>
                <w:color w:val="000000"/>
                <w:sz w:val="20"/>
                <w:szCs w:val="20"/>
                <w:lang w:eastAsia="cs-CZ"/>
              </w:rPr>
              <w:br/>
              <w:t xml:space="preserve"> - Chovatel masného plemene skotu získá podporu na zřízení malých jatek a díky zajištěnému odbytu je schopen generovat vyšší zisk oproti prodeji živých zvířat.</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A_STPR30</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4.6.1.(A). Podpora konkurenceschopnosti místních zemědělců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4.6.5. Zlepšování zemědělské infrastruktury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6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Zlepšování zemědělské infrastruktury zohledňuje faktory konkurenceschopnosti konkrétních zemědělců a přispívá tím k ekonomické prosperitě regionu.</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Díky opravě havarijního stavu polní cesty získá zemědělský podnikatel přístup s technikou na dříve obtížně přístupné pozemky a může na nich rozšířit pěstování rentabilní plodiny.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4.6.1.(A). Podpora konkurenceschopnosti místních zemědělců (PR, strategie)</w:t>
            </w:r>
          </w:p>
        </w:tc>
      </w:tr>
      <w:tr w:rsidR="00144A25" w:rsidRPr="001F038B" w:rsidTr="007D6B99">
        <w:trPr>
          <w:trHeight w:val="51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4.6.6. Podpora inovativních metod spolupráce v zemědělství, lesnictví a potravinářství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Zavádění efektivních metod spolupráce mezi podnikateli vede ke zvyšování jejich konkurenceschopnosti a tím i k posilování místní ekonomiky.</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Podpora pořízení strojního vybavení byla zemědělci poskytnuta díky dohodě o sdílení daného vybavení s dalším zemědělským podnikatelem. Díky sdílení je dosaženo větších efektů z podpořeného vybavení.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A_STPR32</w:t>
            </w:r>
          </w:p>
        </w:tc>
      </w:tr>
      <w:tr w:rsidR="00144A25" w:rsidRPr="001F038B" w:rsidTr="007D6B99">
        <w:trPr>
          <w:trHeight w:val="51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4.6.2.(A). Podpora konkurenceschopnosti lesního hospodářství a lesnických produktů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4.6.4.(A). Zlepšování lesnické infrastruktury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2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Zlepšování lesnické infrastruktury přispívá ke zvyšování konkurenceschopnosti konkrétních lesních hospodářů a přispívá tím k ekonomické prosperitě regionu.</w:t>
            </w:r>
          </w:p>
        </w:tc>
      </w:tr>
      <w:tr w:rsidR="00144A25" w:rsidRPr="001F038B" w:rsidTr="007D6B99">
        <w:trPr>
          <w:trHeight w:val="5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Díky opravě havarijního stavu lesní cesty získá lesní hospodář přístup s technikou na dříve obtížně přístupné lesní pozemky a může na nich provádět těžbu porostu v místním věku.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A_STPR33</w:t>
            </w:r>
          </w:p>
        </w:tc>
      </w:tr>
      <w:tr w:rsidR="00144A25" w:rsidRPr="001F038B" w:rsidTr="007D6B99">
        <w:trPr>
          <w:trHeight w:val="51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4.6.2.(A). Podpora konkurenceschopnosti lesního hospodářství a lesnických produktů (PR, strategie)</w:t>
            </w:r>
          </w:p>
        </w:tc>
      </w:tr>
      <w:tr w:rsidR="00144A25" w:rsidRPr="001F038B" w:rsidTr="007D6B99">
        <w:trPr>
          <w:trHeight w:val="51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4.6.6. Podpora inovativních metod spolupráce v zemědělství, lesnictví a potravinářství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7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Zavádění efektivních metod spolupráce mezi podnikateli vede ke zvyšování jejich konkurenceschopnosti a tím i k posilování místní ekonomiky.</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Podpora pořízení strojního vybavení byla lesnímu hospodáři poskytnuta díky dohodě o sdílení daného vybavení s dalším lesním hospodářem. Díky sdílení je dosaženo větších efektů z podpořené techniky.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4.6.4.(A). Zlepšování lesnické infrastruktury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5.1.1. Investice do ochrany životního prostředí a prostupnosti krajiny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14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Investice do lesnické infrastruktury mohou zahrnovat opatření posilující ekologickou stabilitu lesů, konkrétně např. zlepšování odtokových poměrů v lesích, úpravy na vodních tocích, prevence a odstraňování následků eroze apod. Tato opatření chrání přírodní zdroje území. </w:t>
            </w:r>
            <w:r w:rsidRPr="001F038B">
              <w:rPr>
                <w:rFonts w:ascii="Calibri" w:eastAsia="Times New Roman" w:hAnsi="Calibri" w:cs="Calibri"/>
                <w:color w:val="000000"/>
                <w:sz w:val="20"/>
                <w:szCs w:val="20"/>
                <w:lang w:eastAsia="cs-CZ"/>
              </w:rPr>
              <w:br/>
              <w:t>Při investicích do lesnické infrastruktury je naopak nutné eliminovat možné negativní dopady na lesní ekosystémy, které by byly v rozporu se zásadami udržitelného hospodaření v lesích.</w:t>
            </w:r>
          </w:p>
        </w:tc>
      </w:tr>
      <w:tr w:rsidR="00144A25" w:rsidRPr="001F038B" w:rsidTr="007D6B99">
        <w:trPr>
          <w:trHeight w:val="112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rámci opravy lesní cesty došlo k úpravě související vodohospodářské infrastruktury a byla provedena efektivní protierozní opatření ve svažitém terénu. </w:t>
            </w:r>
            <w:r w:rsidRPr="001F038B">
              <w:rPr>
                <w:rFonts w:ascii="Calibri" w:eastAsia="Times New Roman" w:hAnsi="Calibri" w:cs="Calibri"/>
                <w:color w:val="000000"/>
                <w:sz w:val="20"/>
                <w:szCs w:val="20"/>
                <w:lang w:eastAsia="cs-CZ"/>
              </w:rPr>
              <w:br/>
              <w:t xml:space="preserve"> - Díky opravě havarijního stavu lesní cesty se výrazně zlepšila prostupnost krajiny v dané oblasti.</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4.6.4.(A). Zlepšování lesnické infrastruktury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5.1.2. Podpora rekreačních funkcí lesa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7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Zlepšování lesnické infrastruktury zohledňuje potřeby podpory cestovního ruchu a rekreačních funkcí lesa (např. vyžití lesních cest pro cyklistiku) a přispívá tím k hospodářskému rozvoji území.</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Rekonstruovaná lesní cesta je využívána cyklisty a dalšími návštěvníky lesa.</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4.6.4.(A). Zlepšování lesnické infrastruktury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5.2.2. Zlepšování vodního režimu v lesích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Investice do lesnické infrastruktury mohou zahrnovat opatření na zlepšování odtokových poměrů v lesích, úpravy na vodních tocích, prevence a odstraňování následků eroze apod. Tato opatření chrání přírodní zdroje území. </w:t>
            </w:r>
          </w:p>
        </w:tc>
      </w:tr>
      <w:tr w:rsidR="00144A25" w:rsidRPr="001F038B" w:rsidTr="007D6B99">
        <w:trPr>
          <w:trHeight w:val="6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rámci opravy lesní cesty došlo k úpravě související vodohospodářské infrastruktury a byla provedena efektivní protierozní opatření ve svažitém terénu.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6.1.1.(A). Investice do kapacit a kvality škol a školek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6.3.1.(A). Investice do infrastruktury pro služby vedoucí k sociální inkluzi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Ke kvalitě vzdělávacích zařízení přispívá jejich schopnost zajistit vzdělávací možnosti také osobám ohroženým sociálním vyloučením - při investicích do objektů škol a školek jde zpravidla o zajištění bezbariérovosti a souvisejících stavebních prvků.</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rámci rekonstrukce učeben jsou v budově základní školy doplněny bezbariérové prvky tak, aby školu mohli navštěvovat žáci s pohybovým hendikepem.</w:t>
            </w:r>
            <w:r w:rsidRPr="001F038B">
              <w:rPr>
                <w:rFonts w:ascii="Calibri" w:eastAsia="Times New Roman" w:hAnsi="Calibri" w:cs="Calibri"/>
                <w:color w:val="000000"/>
                <w:sz w:val="20"/>
                <w:szCs w:val="20"/>
                <w:lang w:eastAsia="cs-CZ"/>
              </w:rPr>
              <w:br/>
              <w:t xml:space="preserve"> - Při rekonstrukci školní budovy je část sociálních zařízení upravena pro používání vozíčkáři.</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B_STPR12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6.3.1.(A). Investice do infrastruktury pro služby vedoucí k sociální inkluzi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6.3.2.(A). Podpora poskytování sociálních a inkluzivních služeb (PR,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Investice do infrastruktury pro sociální inkluzi musejí být primárně zaměřeny na kvalitu a požadovaný rozsah služeb, které mají být v budované či modernizované infrastruktuře poskytovány (Nutno zohlednit specifika cílových skupin - např. požadavek na bezbariérovost apod.).</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Modernizace zařízení poskytujícího sociální služby zdravotně hendikepovaným je primárně zaměřena na zvýšení kvality a kapacity poskytovaných služeb.</w:t>
            </w:r>
            <w:r w:rsidRPr="001F038B">
              <w:rPr>
                <w:rFonts w:ascii="Calibri" w:eastAsia="Times New Roman" w:hAnsi="Calibri" w:cs="Calibri"/>
                <w:color w:val="000000"/>
                <w:sz w:val="20"/>
                <w:szCs w:val="20"/>
                <w:lang w:eastAsia="cs-CZ"/>
              </w:rPr>
              <w:br/>
              <w:t xml:space="preserve"> - Výstavba nového komunitního centra reflektuje potřeby hlavních skupin osob ohrožených sociálním vyloučením v dané lokalitě.</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A_STPR38</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6.5.1.(A). Podpora komunitně vedeného místního rozvoje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6.5.2. Investice do územního plánování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Činnost MAS, popř. dalších relevantních subjektů přispívá k rozvojovému plánování v regionu, především formou komunitně vedeného místního rozvoje. </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rámci přípravy strategie komunitně vedeného místního rozvoje sesbírá MAS od občanů a specifických aktérů v území podněty k rozvojovému plánování v regionu.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Všechna opatření strategie vs. 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A_STPR39</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6.5.1.(A). Podpora komunitně vedeného místního rozvoje (PR, strategie)</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7.3.1. Podpora konání akcí pro veřejnost (strategie)</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7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MAS Rokytná so podílí na organizaci akcí pro veřejnost, které souvisejí s předmětem její působnosti - především akce v rámci komunitně vedeného místního rozvoje a veřejné akce v rámci konkrétních projektů spolupráce, kterých se MAS účastní.</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MAS zorganizuje veřejné projednání rozvojových cílů území, na kterém se občané mohou vyjádřit k připravované strategii.</w:t>
            </w:r>
            <w:r w:rsidRPr="001F038B">
              <w:rPr>
                <w:rFonts w:ascii="Calibri" w:eastAsia="Times New Roman" w:hAnsi="Calibri" w:cs="Calibri"/>
                <w:color w:val="000000"/>
                <w:sz w:val="20"/>
                <w:szCs w:val="20"/>
                <w:lang w:eastAsia="cs-CZ"/>
              </w:rPr>
              <w:br/>
              <w:t xml:space="preserve"> - V rámci projektu spolupráce se MAS podílí na organizace akce pro veřejnost, na které jsou prezentovány mj. produkty místních podnikatelů, činnost spolků a dalších členů MAS.</w:t>
            </w:r>
          </w:p>
        </w:tc>
      </w:tr>
    </w:tbl>
    <w:p w:rsidR="00144A25" w:rsidRPr="001F038B" w:rsidRDefault="00144A25" w:rsidP="00144A25">
      <w:pPr>
        <w:spacing w:line="288" w:lineRule="auto"/>
        <w:jc w:val="both"/>
        <w:rPr>
          <w:lang w:eastAsia="cs-CZ"/>
        </w:rPr>
      </w:pPr>
    </w:p>
    <w:tbl>
      <w:tblPr>
        <w:tblW w:w="9654" w:type="dxa"/>
        <w:tblInd w:w="55" w:type="dxa"/>
        <w:tblCellMar>
          <w:left w:w="70" w:type="dxa"/>
          <w:right w:w="70" w:type="dxa"/>
        </w:tblCellMar>
        <w:tblLook w:val="04A0" w:firstRow="1" w:lastRow="0" w:firstColumn="1" w:lastColumn="0" w:noHBand="0" w:noVBand="1"/>
      </w:tblPr>
      <w:tblGrid>
        <w:gridCol w:w="2203"/>
        <w:gridCol w:w="7451"/>
      </w:tblGrid>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A_STPR40</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1.3.1. Investice do přípravy pozemků pro stavební využití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00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S investicemi souvisejícími s výstavbou a obnovou bytového fondu jsou často spojeny úpravy okolního veřejného prostranství, které zlepšují estetiku a funkčnost veřejného prostoru v obcích. Tyto úpravy budou zahrnovat také investice do veřejné zeleně vč. parků, alejí a funkčního propojení přírodních ploch a prvků.</w:t>
            </w:r>
          </w:p>
        </w:tc>
      </w:tr>
      <w:tr w:rsidR="00144A25" w:rsidRPr="00144A25" w:rsidTr="007D6B99">
        <w:trPr>
          <w:trHeight w:val="186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Obec investuje do revitalizace zanedbaného objektu pro potřeby výstavby bytů, čímž se výrazně zvýší kvalita veřejného prostranství v centru obce.</w:t>
            </w:r>
            <w:r w:rsidRPr="00144A25">
              <w:rPr>
                <w:rFonts w:ascii="Calibri" w:eastAsia="Times New Roman" w:hAnsi="Calibri" w:cs="Calibri"/>
                <w:color w:val="000000"/>
                <w:sz w:val="20"/>
                <w:szCs w:val="20"/>
                <w:highlight w:val="yellow"/>
                <w:lang w:eastAsia="cs-CZ"/>
              </w:rPr>
              <w:br/>
              <w:t>- Příprava pozemků pro výstavbu rodinných domů motivuje zájemce k výstavbě bydlení v obci. V dlouhodobém horizonu dojde k navýšení příjmů obce a získání zdrojů mj. na další rozvoj veřejných prostranství.</w:t>
            </w:r>
            <w:r w:rsidRPr="00144A25">
              <w:rPr>
                <w:rFonts w:ascii="Calibri" w:eastAsia="Times New Roman" w:hAnsi="Calibri" w:cs="Calibri"/>
                <w:color w:val="000000"/>
                <w:sz w:val="20"/>
                <w:szCs w:val="20"/>
                <w:highlight w:val="yellow"/>
                <w:lang w:eastAsia="cs-CZ"/>
              </w:rPr>
              <w:br/>
              <w:t xml:space="preserve"> - Součástí investic do ploch pro bydlení jsou investice do různých prvků veřejné zeleně.</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A_STPR41</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2.4.1.(A). Podpora udržitelnosti nemotorové a veřejné dopravy (PR,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12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zvyšování bezpečnosti v dopravě a do podpory nemotorové a veřejné dopravy zároveň podporují záměry a potřeby revitalizací veřejných prostranství. Tím je podporován rozvoj infrastruktury v souladu s nároky na estetiku, ekologické funkce a užitnou hodnotu veřejného prostoru.</w:t>
            </w:r>
          </w:p>
        </w:tc>
      </w:tr>
      <w:tr w:rsidR="00144A25" w:rsidRPr="00144A25" w:rsidTr="007D6B99">
        <w:trPr>
          <w:trHeight w:val="1784"/>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Obec provede kompletní revitalizaci návsi a části přilehlých ulic s ohledem na zvýšení bezpečnosti chodců, cyklistů a dalších účastníků silničního provozu (nové přechody pro chodce, úprava profilu komunikace, stojany na kola a další prvky). Součástí projektu je revitalizace a doplnění veřené zeleně.</w:t>
            </w:r>
            <w:r w:rsidRPr="00144A25">
              <w:rPr>
                <w:rFonts w:ascii="Calibri" w:eastAsia="Times New Roman" w:hAnsi="Calibri" w:cs="Calibri"/>
                <w:color w:val="000000"/>
                <w:sz w:val="20"/>
                <w:szCs w:val="20"/>
                <w:highlight w:val="yellow"/>
                <w:lang w:eastAsia="cs-CZ"/>
              </w:rPr>
              <w:br/>
              <w:t xml:space="preserve"> - Obec modernizuje menší autobusové nádraží a přilehlé parkoviště pro osobní automobily. Součástí projektu je revitalizace a doplnění veřené zeleně. Tím výrazně zvýší užitnou a estetickou hodnotu veřejného prostranství ve svém intravilánu.</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A_STPR42</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51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3.3.1. Investice do sportovišť a dalšího zázemí pro volný čas spolkovou činnost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17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Volnočasová infrastruktura (hřiště, objekty či jiná místa pro setkávání občanů apod.) jsou často umístěna v centrální poloze veřejných prostranství. Při jejich budování a obnově je nutné dbát na estetisku, environmetální fuknce a užitnou hodnotu těchto míst.</w:t>
            </w:r>
          </w:p>
        </w:tc>
      </w:tr>
      <w:tr w:rsidR="00144A25" w:rsidRPr="00144A25" w:rsidTr="007D6B99">
        <w:trPr>
          <w:trHeight w:val="102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Místní sokolská organizace provede kompletní rekonstrukci sokolovny a přilehlého prostranství (zeleň, chodníky, mobiliář) v centru obce. </w:t>
            </w:r>
            <w:r w:rsidRPr="00144A25">
              <w:rPr>
                <w:rFonts w:ascii="Calibri" w:eastAsia="Times New Roman" w:hAnsi="Calibri" w:cs="Calibri"/>
                <w:color w:val="000000"/>
                <w:sz w:val="20"/>
                <w:szCs w:val="20"/>
                <w:highlight w:val="yellow"/>
                <w:lang w:eastAsia="cs-CZ"/>
              </w:rPr>
              <w:br/>
              <w:t xml:space="preserve"> - Tělovýchovná jednota ve spolupráci s obcí modernizují sportoviště, jeho zázemí a přilehlý veřejný park vč. doprovodných vodních prvků.</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A_STPR43</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3.4.1. Investice do revitalizace hmotných památek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33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obnovy nemovitých památek a dalších objektů přispívají ke zkvalitnění veřejných prostranství a celkově k estetice venkovské krajiny. Součástí těchto investic je často obnova či doplnění veřejné zeleně, stejně jako dalších krajinotvorných prvků, které jsou součástí veřejných prostranství (např. vodní prvky).</w:t>
            </w:r>
          </w:p>
        </w:tc>
      </w:tr>
      <w:tr w:rsidR="00144A25" w:rsidRPr="00144A25" w:rsidTr="007D6B99">
        <w:trPr>
          <w:trHeight w:val="114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Rekonstrukce historického objektu v centru obce vč. revitalizace přilehlého pozemku významně zvýší kvalitu veřejného prostranství.</w:t>
            </w:r>
            <w:r w:rsidRPr="00144A25">
              <w:rPr>
                <w:rFonts w:ascii="Calibri" w:eastAsia="Times New Roman" w:hAnsi="Calibri" w:cs="Calibri"/>
                <w:color w:val="000000"/>
                <w:sz w:val="20"/>
                <w:szCs w:val="20"/>
                <w:highlight w:val="yellow"/>
                <w:lang w:eastAsia="cs-CZ"/>
              </w:rPr>
              <w:br/>
              <w:t xml:space="preserve"> - Rekonstrukce části zámku přístupné veřejnosti vč parku zvýší estetičnost důležitého veřejného prostranství v centru obce.</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A_STPR44</w:t>
            </w:r>
          </w:p>
        </w:tc>
      </w:tr>
      <w:tr w:rsidR="00144A25" w:rsidRPr="00144A25" w:rsidTr="007D6B99">
        <w:trPr>
          <w:trHeight w:val="51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5.1.1.(A). Investice do ochrany životního prostředí a prostupnosti krajiny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1.1.1. Investice do pitné vody a čištění odpadních vod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82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Budování kanalizací a ČOV má pozitivní vliv na kvalitu povrchových </w:t>
            </w:r>
            <w:r w:rsidRPr="00144A25">
              <w:rPr>
                <w:rFonts w:ascii="Calibri" w:eastAsia="Times New Roman" w:hAnsi="Calibri" w:cs="Calibri"/>
                <w:color w:val="000000"/>
                <w:sz w:val="20"/>
                <w:szCs w:val="20"/>
                <w:highlight w:val="yellow"/>
                <w:lang w:eastAsia="cs-CZ"/>
              </w:rPr>
              <w:br/>
              <w:t xml:space="preserve">a následně podpovrchových vod, která je klíčovou podmínkou pro čisté životní prostředí a udržitelné využívání přírodních zdrojů. </w:t>
            </w:r>
          </w:p>
        </w:tc>
      </w:tr>
      <w:tr w:rsidR="00144A25" w:rsidRPr="00144A25" w:rsidTr="007D6B99">
        <w:trPr>
          <w:trHeight w:val="235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Obec v části svého katastru vybuduje síť kanalizace a ČOV a díky tomu dojde ke zlepšení kvality vody (snížení znečištění) ve vodním toku, do jehož povodní zasahuje katastr obce.</w:t>
            </w:r>
            <w:r w:rsidRPr="00144A25">
              <w:rPr>
                <w:rFonts w:ascii="Calibri" w:eastAsia="Times New Roman" w:hAnsi="Calibri" w:cs="Calibri"/>
                <w:color w:val="000000"/>
                <w:sz w:val="20"/>
                <w:szCs w:val="20"/>
                <w:highlight w:val="yellow"/>
                <w:lang w:eastAsia="cs-CZ"/>
              </w:rPr>
              <w:br/>
              <w:t xml:space="preserve"> - Rozhodování o investicích do kanalizací a ČOV je závislé také na míře potenciálního přínosu daného investičního projektu pro zlepšení kvality povrchových a podpovrchových vod v konkrétní lokalitě.</w:t>
            </w:r>
            <w:r w:rsidRPr="00144A25">
              <w:rPr>
                <w:rFonts w:ascii="Calibri" w:eastAsia="Times New Roman" w:hAnsi="Calibri" w:cs="Calibri"/>
                <w:color w:val="000000"/>
                <w:sz w:val="20"/>
                <w:szCs w:val="20"/>
                <w:highlight w:val="yellow"/>
                <w:lang w:eastAsia="cs-CZ"/>
              </w:rPr>
              <w:br/>
              <w:t xml:space="preserve"> - Nižší kontaminace vody v místním vodním toku díky modernizaci ČOV zvýší ekologickou hodnotu tohoto biokoridoru, kterou lze následně doplnit dalšími revitalizačními zásahy (např. výsadba dřevin podél toku).</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A_STPR45</w:t>
            </w:r>
          </w:p>
        </w:tc>
      </w:tr>
      <w:tr w:rsidR="00144A25" w:rsidRPr="00144A25" w:rsidTr="007D6B99">
        <w:trPr>
          <w:trHeight w:val="51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5.1.1.(A). Investice do ochrany životního prostředí a prostupnosti krajiny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4.6.5. Zlepšování zemědělské infrastruktury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81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zemědělské infrastruktury mohou zahrnovat opatření posilující ekologickou stabilitu krajiny, konkrétně např. zakládání či zlepšování stavu biocenter a biokoridorů ÚSES, zlepšování odtokových poměrů apod. Tato opatření chrání přírodní zdroje území. Při investicích do zemědělské infrastruktury je naopak nutné elimovat možné negativní dopady na ekosystémy, které by byly v rozporu se zásadami udržiteného zemědělského hospodaření.</w:t>
            </w:r>
          </w:p>
        </w:tc>
      </w:tr>
      <w:tr w:rsidR="00144A25" w:rsidRPr="00144A25" w:rsidTr="007D6B99">
        <w:trPr>
          <w:trHeight w:val="109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V rámci opravy polní cesty došlo k posílení funkce souvisejícího biokoridoru výsadbou vhodných dřevin a dalšími opatřeními.</w:t>
            </w:r>
            <w:r w:rsidRPr="00144A25">
              <w:rPr>
                <w:rFonts w:ascii="Calibri" w:eastAsia="Times New Roman" w:hAnsi="Calibri" w:cs="Calibri"/>
                <w:color w:val="000000"/>
                <w:sz w:val="20"/>
                <w:szCs w:val="20"/>
                <w:highlight w:val="yellow"/>
                <w:lang w:eastAsia="cs-CZ"/>
              </w:rPr>
              <w:br/>
              <w:t xml:space="preserve"> - Díky opravě havarijního stavu polní cesty se výrazně zlepšila prostupnost krajiny v dané oblasti.</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5F374D" w:rsidRDefault="00B73B01"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A_STPR46</w:t>
            </w:r>
          </w:p>
        </w:tc>
      </w:tr>
      <w:tr w:rsidR="00144A25" w:rsidRPr="00144A25" w:rsidTr="007D6B99">
        <w:trPr>
          <w:trHeight w:val="51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5.2.1.(A). Zlepšování vodního režimu v zemědělské krajině </w:t>
            </w:r>
            <w:r w:rsidRPr="00144A25">
              <w:rPr>
                <w:rFonts w:ascii="Calibri" w:eastAsia="Times New Roman" w:hAnsi="Calibri" w:cs="Calibri"/>
                <w:color w:val="000000"/>
                <w:sz w:val="20"/>
                <w:szCs w:val="20"/>
                <w:highlight w:val="yellow"/>
                <w:lang w:eastAsia="cs-CZ"/>
              </w:rPr>
              <w:br/>
              <w:t>a v intravilánu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4.6.5. Zlepšování zemědělské infrastruktury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06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Investice do zemědělské infrastruktury mohou zahrnovat opatření na zlepšování odtokových poměrů na zemědělské půdě, úpravy na vodních tocích, prevence a odstraňování následků vodní a větrné eroze apod. Tato opatření chrání přírodní zdroje území. </w:t>
            </w:r>
          </w:p>
        </w:tc>
      </w:tr>
      <w:tr w:rsidR="00144A25" w:rsidRPr="00144A25" w:rsidTr="007D6B99">
        <w:trPr>
          <w:trHeight w:val="114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V rámci opravy polní cesty došlo k úpravě související vohospodářské infrastruktury a byla provedena efektivní protierozní opatření ve svažitém terénu. Součástí investice dále byla provedena liniová výsadba dřevin plnících funkci větrolamu.</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A_STPR47</w:t>
            </w:r>
          </w:p>
        </w:tc>
      </w:tr>
      <w:tr w:rsidR="00144A25" w:rsidRPr="00144A25" w:rsidTr="007D6B99">
        <w:trPr>
          <w:trHeight w:val="51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5.2.1.(A). Zlepšování vodního režimu v zemědělské krajině </w:t>
            </w:r>
            <w:r w:rsidRPr="00144A25">
              <w:rPr>
                <w:rFonts w:ascii="Calibri" w:eastAsia="Times New Roman" w:hAnsi="Calibri" w:cs="Calibri"/>
                <w:color w:val="000000"/>
                <w:sz w:val="20"/>
                <w:szCs w:val="20"/>
                <w:highlight w:val="yellow"/>
                <w:lang w:eastAsia="cs-CZ"/>
              </w:rPr>
              <w:br/>
              <w:t>a v intravilánu (PR, strategie)</w:t>
            </w:r>
          </w:p>
        </w:tc>
      </w:tr>
      <w:tr w:rsidR="00144A25" w:rsidRPr="00144A25" w:rsidTr="007D6B99">
        <w:trPr>
          <w:trHeight w:val="51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5.1.1.(A). Investice do ochrany životního prostředí a prostupnosti krajiny (PR,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41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obnovy krajiny v poškozených oblastech, přirozenější segmentace krajiny, podpora biodiverzity a přirozených funkcí krajiny, zakládání a zlepšování funkčního stavu biocenter a biokoridorů často zahrnují také dílčí opatření na zlepšení vodního režimu krajiny - zadržování vody v obdobích sucha a zvyšování odolnosti vůči extrémně intenzivním srážkám a povodním.</w:t>
            </w:r>
          </w:p>
        </w:tc>
      </w:tr>
      <w:tr w:rsidR="00144A25" w:rsidRPr="00144A25" w:rsidTr="007D6B99">
        <w:trPr>
          <w:trHeight w:val="88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V rámci obnovy lokálního biocentra byla vybudována soustava drobných jezírek, jejichž cílem je mj. akumulace vody v krajině a vytvoření biotopu pro obojživelníky a další živočichy.</w:t>
            </w:r>
            <w:r w:rsidRPr="00144A25">
              <w:rPr>
                <w:rFonts w:ascii="Calibri" w:eastAsia="Times New Roman" w:hAnsi="Calibri" w:cs="Calibri"/>
                <w:color w:val="000000"/>
                <w:sz w:val="20"/>
                <w:szCs w:val="20"/>
                <w:highlight w:val="yellow"/>
                <w:lang w:eastAsia="cs-CZ"/>
              </w:rPr>
              <w:br/>
              <w:t xml:space="preserve"> </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B_STPR13</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30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1.1.1. Investice do pitné vody a čištění odpadních vod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Silná integrační vazba - podmíněnost mezi opatřeními</w:t>
            </w:r>
          </w:p>
        </w:tc>
      </w:tr>
      <w:tr w:rsidR="00144A25" w:rsidRPr="00144A25" w:rsidTr="007D6B99">
        <w:trPr>
          <w:trHeight w:val="118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revitalizací veřejných prostranství vč. např. obnovy veřejné zeleně musejí probíhat s ohledem na logickou souslednost prací při plánovaných projektech výstavby či rekonstrukce kanalizačních sítí. Tím je podmíněna efektivita nákladů na investice do kvality a funkčnosti veřejného prostoru.</w:t>
            </w:r>
          </w:p>
        </w:tc>
      </w:tr>
      <w:tr w:rsidR="00144A25" w:rsidRPr="00144A25" w:rsidTr="007D6B99">
        <w:trPr>
          <w:trHeight w:val="109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Plánová rekonstrukce náměstí je naplánována bezprostředně po skončení projektu budování kanalizace v obci.</w:t>
            </w:r>
            <w:r w:rsidRPr="00144A25">
              <w:rPr>
                <w:rFonts w:ascii="Calibri" w:eastAsia="Times New Roman" w:hAnsi="Calibri" w:cs="Calibri"/>
                <w:color w:val="000000"/>
                <w:sz w:val="20"/>
                <w:szCs w:val="20"/>
                <w:highlight w:val="yellow"/>
                <w:lang w:eastAsia="cs-CZ"/>
              </w:rPr>
              <w:br/>
              <w:t xml:space="preserve"> - Proces územního plánování obce je propojen s plány úprav veřejných prostranství.</w:t>
            </w:r>
          </w:p>
        </w:tc>
      </w:tr>
      <w:tr w:rsidR="00144A25" w:rsidRPr="00144A25" w:rsidTr="007D6B99">
        <w:trPr>
          <w:trHeight w:val="300"/>
        </w:trPr>
        <w:tc>
          <w:tcPr>
            <w:tcW w:w="2203"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5F374D" w:rsidRDefault="00B73B01"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203"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Úroveň</w:t>
            </w:r>
          </w:p>
        </w:tc>
        <w:tc>
          <w:tcPr>
            <w:tcW w:w="7451"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Označení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B_STPR14</w:t>
            </w:r>
          </w:p>
        </w:tc>
      </w:tr>
      <w:tr w:rsidR="00144A25" w:rsidRPr="00144A25" w:rsidTr="007D6B99">
        <w:trPr>
          <w:trHeight w:val="300"/>
        </w:trPr>
        <w:tc>
          <w:tcPr>
            <w:tcW w:w="2203"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Dvojice opatření</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  (PR, strategie)</w:t>
            </w:r>
          </w:p>
        </w:tc>
      </w:tr>
      <w:tr w:rsidR="00144A25" w:rsidRPr="00144A25" w:rsidTr="007D6B99">
        <w:trPr>
          <w:trHeight w:val="510"/>
        </w:trPr>
        <w:tc>
          <w:tcPr>
            <w:tcW w:w="2203" w:type="dxa"/>
            <w:vMerge/>
            <w:tcBorders>
              <w:top w:val="nil"/>
              <w:left w:val="single" w:sz="4" w:space="0" w:color="auto"/>
              <w:bottom w:val="single" w:sz="4" w:space="0" w:color="auto"/>
              <w:right w:val="single" w:sz="4" w:space="0" w:color="auto"/>
            </w:tcBorders>
            <w:vAlign w:val="center"/>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1.2.1. Modernizace základních veřejných sítí a technologií pro veřejnou (strategie)</w:t>
            </w:r>
          </w:p>
        </w:tc>
      </w:tr>
      <w:tr w:rsidR="00144A25" w:rsidRPr="00144A25" w:rsidTr="007D6B99">
        <w:trPr>
          <w:trHeight w:val="30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Typ integrační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Silná integrační vazba - podmíněnost mezi opatřeními</w:t>
            </w:r>
          </w:p>
        </w:tc>
      </w:tr>
      <w:tr w:rsidR="00144A25" w:rsidRPr="00144A25" w:rsidTr="007D6B99">
        <w:trPr>
          <w:trHeight w:val="1110"/>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Popis vazby</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revitalizací veřejných prostranství vč. např. obnovy veřejné zeleně musejí probíhat s ohledem na logickou souslednost prací při plánovaných projektech výstavby či rekonstrukce inženýrských sítí. Tím je podmíněna efektivita nákladů na investice do kvality a funkčnosti veřejného prostoru.</w:t>
            </w:r>
          </w:p>
        </w:tc>
      </w:tr>
      <w:tr w:rsidR="00144A25" w:rsidRPr="00144A25" w:rsidTr="007D6B99">
        <w:trPr>
          <w:trHeight w:val="1125"/>
        </w:trPr>
        <w:tc>
          <w:tcPr>
            <w:tcW w:w="2203" w:type="dxa"/>
            <w:tcBorders>
              <w:top w:val="nil"/>
              <w:left w:val="single" w:sz="4" w:space="0" w:color="auto"/>
              <w:bottom w:val="single" w:sz="4" w:space="0" w:color="auto"/>
              <w:right w:val="single" w:sz="4" w:space="0" w:color="auto"/>
            </w:tcBorders>
            <w:shd w:val="clear" w:color="000000" w:fill="DA9694"/>
            <w:noWrap/>
            <w:hideMark/>
          </w:tcPr>
          <w:p w:rsidR="00144A25" w:rsidRPr="005F374D" w:rsidRDefault="00144A25" w:rsidP="007D6B99">
            <w:pPr>
              <w:spacing w:after="0" w:line="240" w:lineRule="auto"/>
              <w:rPr>
                <w:rFonts w:ascii="Calibri" w:eastAsia="Times New Roman" w:hAnsi="Calibri" w:cs="Calibri"/>
                <w:color w:val="000000"/>
                <w:sz w:val="20"/>
                <w:szCs w:val="20"/>
                <w:lang w:eastAsia="cs-CZ"/>
              </w:rPr>
            </w:pPr>
            <w:r w:rsidRPr="005F374D">
              <w:rPr>
                <w:rFonts w:ascii="Calibri" w:eastAsia="Times New Roman" w:hAnsi="Calibri" w:cs="Calibri"/>
                <w:color w:val="000000"/>
                <w:sz w:val="20"/>
                <w:szCs w:val="20"/>
                <w:lang w:eastAsia="cs-CZ"/>
              </w:rPr>
              <w:t>Příklady aktivit/projektů</w:t>
            </w:r>
          </w:p>
        </w:tc>
        <w:tc>
          <w:tcPr>
            <w:tcW w:w="7451"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Plánová rekonstrukce náměstí je naplánována bezprostředně po skončení projektu rekonstrukce vodovodu v obci.</w:t>
            </w:r>
            <w:r w:rsidRPr="00144A25">
              <w:rPr>
                <w:rFonts w:ascii="Calibri" w:eastAsia="Times New Roman" w:hAnsi="Calibri" w:cs="Calibri"/>
                <w:color w:val="000000"/>
                <w:sz w:val="20"/>
                <w:szCs w:val="20"/>
                <w:highlight w:val="yellow"/>
                <w:lang w:eastAsia="cs-CZ"/>
              </w:rPr>
              <w:br/>
              <w:t xml:space="preserve"> - Plán rozvoje inženýrských sítí obce je propojen s plány úprav veřejných prostranství.</w:t>
            </w:r>
          </w:p>
        </w:tc>
      </w:tr>
    </w:tbl>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 w:rsidR="00144A25" w:rsidRPr="001F038B" w:rsidRDefault="00144A25" w:rsidP="00144A25">
      <w:pPr>
        <w:sectPr w:rsidR="00144A25" w:rsidRPr="001F038B" w:rsidSect="00AD6A11">
          <w:pgSz w:w="11907" w:h="16839" w:code="9"/>
          <w:pgMar w:top="1417" w:right="1417" w:bottom="1417" w:left="1417" w:header="708" w:footer="708" w:gutter="0"/>
          <w:cols w:space="708"/>
          <w:docGrid w:linePitch="360"/>
        </w:sectPr>
      </w:pPr>
    </w:p>
    <w:p w:rsidR="00144A25" w:rsidRPr="001F038B" w:rsidRDefault="00144A25" w:rsidP="00144A25">
      <w:r w:rsidRPr="00784482">
        <w:rPr>
          <w:noProof/>
          <w:lang w:eastAsia="cs-CZ"/>
        </w:rPr>
        <w:drawing>
          <wp:inline distT="0" distB="0" distL="0" distR="0" wp14:anchorId="154B87DB" wp14:editId="0DA79D13">
            <wp:extent cx="8893175" cy="3573509"/>
            <wp:effectExtent l="0" t="0" r="3175" b="8255"/>
            <wp:docPr id="694" name="Obrázek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3175" cy="3573509"/>
                    </a:xfrm>
                    <a:prstGeom prst="rect">
                      <a:avLst/>
                    </a:prstGeom>
                    <a:noFill/>
                    <a:ln>
                      <a:noFill/>
                    </a:ln>
                  </pic:spPr>
                </pic:pic>
              </a:graphicData>
            </a:graphic>
          </wp:inline>
        </w:drawing>
      </w:r>
    </w:p>
    <w:tbl>
      <w:tblPr>
        <w:tblW w:w="9436" w:type="dxa"/>
        <w:tblInd w:w="55" w:type="dxa"/>
        <w:tblCellMar>
          <w:left w:w="70" w:type="dxa"/>
          <w:right w:w="70" w:type="dxa"/>
        </w:tblCellMar>
        <w:tblLook w:val="04A0" w:firstRow="1" w:lastRow="0" w:firstColumn="1" w:lastColumn="0" w:noHBand="0" w:noVBand="1"/>
      </w:tblPr>
      <w:tblGrid>
        <w:gridCol w:w="1070"/>
        <w:gridCol w:w="4183"/>
        <w:gridCol w:w="4183"/>
      </w:tblGrid>
      <w:tr w:rsidR="00144A25" w:rsidRPr="001F038B" w:rsidTr="007D6B99">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X</w:t>
            </w:r>
          </w:p>
        </w:tc>
        <w:tc>
          <w:tcPr>
            <w:tcW w:w="8366" w:type="dxa"/>
            <w:gridSpan w:val="2"/>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Shodná opatření</w:t>
            </w:r>
          </w:p>
        </w:tc>
      </w:tr>
      <w:tr w:rsidR="00144A25" w:rsidRPr="001F038B" w:rsidTr="007D6B99">
        <w:trPr>
          <w:trHeight w:val="300"/>
        </w:trPr>
        <w:tc>
          <w:tcPr>
            <w:tcW w:w="107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c>
          <w:tcPr>
            <w:tcW w:w="41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c>
          <w:tcPr>
            <w:tcW w:w="41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lang w:eastAsia="cs-CZ"/>
              </w:rPr>
            </w:pPr>
          </w:p>
        </w:tc>
      </w:tr>
      <w:tr w:rsidR="00144A25" w:rsidRPr="001F038B" w:rsidTr="007D6B99">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A_PR</w:t>
            </w:r>
          </w:p>
        </w:tc>
        <w:tc>
          <w:tcPr>
            <w:tcW w:w="8366" w:type="dxa"/>
            <w:gridSpan w:val="2"/>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Slabá integrační vazba - synergie mezi opatřeními programových rámců</w:t>
            </w:r>
          </w:p>
        </w:tc>
      </w:tr>
      <w:tr w:rsidR="00144A25" w:rsidRPr="001F038B" w:rsidTr="007D6B99">
        <w:trPr>
          <w:trHeight w:val="300"/>
        </w:trPr>
        <w:tc>
          <w:tcPr>
            <w:tcW w:w="107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p>
        </w:tc>
        <w:tc>
          <w:tcPr>
            <w:tcW w:w="41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p>
        </w:tc>
        <w:tc>
          <w:tcPr>
            <w:tcW w:w="4183"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lang w:eastAsia="cs-CZ"/>
              </w:rPr>
            </w:pPr>
          </w:p>
        </w:tc>
      </w:tr>
      <w:tr w:rsidR="00144A25" w:rsidRPr="001F038B" w:rsidTr="007D6B99">
        <w:trPr>
          <w:trHeight w:val="300"/>
        </w:trPr>
        <w:tc>
          <w:tcPr>
            <w:tcW w:w="107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144A25" w:rsidRPr="001F038B" w:rsidRDefault="00144A25" w:rsidP="007D6B99">
            <w:pPr>
              <w:spacing w:after="0" w:line="240" w:lineRule="auto"/>
              <w:jc w:val="center"/>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B_PR</w:t>
            </w:r>
          </w:p>
        </w:tc>
        <w:tc>
          <w:tcPr>
            <w:tcW w:w="8366" w:type="dxa"/>
            <w:gridSpan w:val="2"/>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14"/>
                <w:szCs w:val="14"/>
                <w:lang w:eastAsia="cs-CZ"/>
              </w:rPr>
            </w:pPr>
            <w:r w:rsidRPr="001F038B">
              <w:rPr>
                <w:rFonts w:ascii="Calibri" w:eastAsia="Times New Roman" w:hAnsi="Calibri" w:cs="Calibri"/>
                <w:color w:val="000000"/>
                <w:sz w:val="14"/>
                <w:szCs w:val="14"/>
                <w:lang w:eastAsia="cs-CZ"/>
              </w:rPr>
              <w:t>Silná integrační vazba - podmíněnost mezi opatřeními programových rámců (věcná, časová, prostorová)</w:t>
            </w:r>
          </w:p>
        </w:tc>
      </w:tr>
    </w:tbl>
    <w:p w:rsidR="00144A25" w:rsidRPr="00993024" w:rsidRDefault="00144A25" w:rsidP="00144A25">
      <w:pPr>
        <w:rPr>
          <w:rFonts w:ascii="Calibri" w:eastAsia="Times New Roman" w:hAnsi="Calibri" w:cs="Calibri"/>
          <w:color w:val="000000"/>
          <w:sz w:val="14"/>
          <w:szCs w:val="14"/>
          <w:lang w:eastAsia="cs-CZ"/>
        </w:rPr>
      </w:pPr>
      <w:r w:rsidRPr="00AC6560">
        <w:rPr>
          <w:noProof/>
          <w:lang w:eastAsia="cs-CZ"/>
        </w:rPr>
        <w:drawing>
          <wp:inline distT="0" distB="0" distL="0" distR="0" wp14:anchorId="080A9A8A" wp14:editId="19D766CB">
            <wp:extent cx="621665" cy="197485"/>
            <wp:effectExtent l="0" t="0" r="6985" b="0"/>
            <wp:docPr id="693" name="Obrázek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197485"/>
                    </a:xfrm>
                    <a:prstGeom prst="rect">
                      <a:avLst/>
                    </a:prstGeom>
                    <a:noFill/>
                    <a:ln>
                      <a:noFill/>
                    </a:ln>
                  </pic:spPr>
                </pic:pic>
              </a:graphicData>
            </a:graphic>
          </wp:inline>
        </w:drawing>
      </w:r>
      <w:r>
        <w:rPr>
          <w:rFonts w:ascii="Calibri" w:eastAsia="Times New Roman" w:hAnsi="Calibri" w:cs="Calibri"/>
          <w:color w:val="000000"/>
          <w:sz w:val="14"/>
          <w:szCs w:val="14"/>
          <w:lang w:eastAsia="cs-CZ"/>
        </w:rPr>
        <w:t xml:space="preserve">   </w:t>
      </w:r>
      <w:r w:rsidRPr="00993024">
        <w:rPr>
          <w:rFonts w:ascii="Calibri" w:eastAsia="Times New Roman" w:hAnsi="Calibri" w:cs="Calibri"/>
          <w:color w:val="000000"/>
          <w:sz w:val="14"/>
          <w:szCs w:val="14"/>
          <w:lang w:eastAsia="cs-CZ"/>
        </w:rPr>
        <w:t>Nově doplněná provazba v rámci reakce na věcné hodnocení progra</w:t>
      </w:r>
      <w:r>
        <w:rPr>
          <w:rFonts w:ascii="Calibri" w:eastAsia="Times New Roman" w:hAnsi="Calibri" w:cs="Calibri"/>
          <w:color w:val="000000"/>
          <w:sz w:val="14"/>
          <w:szCs w:val="14"/>
          <w:lang w:eastAsia="cs-CZ"/>
        </w:rPr>
        <w:t>m</w:t>
      </w:r>
      <w:r w:rsidRPr="00993024">
        <w:rPr>
          <w:rFonts w:ascii="Calibri" w:eastAsia="Times New Roman" w:hAnsi="Calibri" w:cs="Calibri"/>
          <w:color w:val="000000"/>
          <w:sz w:val="14"/>
          <w:szCs w:val="14"/>
          <w:lang w:eastAsia="cs-CZ"/>
        </w:rPr>
        <w:t>ových rámců (březen 2017)</w:t>
      </w:r>
    </w:p>
    <w:p w:rsidR="00144A25" w:rsidRPr="001F038B" w:rsidRDefault="00144A25" w:rsidP="00144A25"/>
    <w:p w:rsidR="00144A25" w:rsidRPr="001F038B" w:rsidRDefault="00144A25" w:rsidP="00144A25">
      <w:pPr>
        <w:spacing w:line="288" w:lineRule="auto"/>
        <w:jc w:val="both"/>
        <w:rPr>
          <w:b/>
          <w:bCs/>
          <w:color w:val="4F81BD" w:themeColor="accent1"/>
          <w:sz w:val="18"/>
          <w:szCs w:val="18"/>
        </w:rPr>
      </w:pPr>
      <w:r w:rsidRPr="001F038B">
        <w:rPr>
          <w:b/>
          <w:bCs/>
          <w:color w:val="4F81BD" w:themeColor="accent1"/>
          <w:sz w:val="18"/>
          <w:szCs w:val="18"/>
        </w:rPr>
        <w:t>Obrázek - Vzájemné integrační vazby na úrovni opatření programových rámců</w:t>
      </w:r>
    </w:p>
    <w:p w:rsidR="00144A25" w:rsidRPr="001F038B" w:rsidRDefault="00144A25" w:rsidP="00144A25">
      <w:pPr>
        <w:sectPr w:rsidR="00144A25" w:rsidRPr="001F038B" w:rsidSect="00AD6A11">
          <w:pgSz w:w="16839" w:h="11907" w:orient="landscape" w:code="9"/>
          <w:pgMar w:top="1417" w:right="1417" w:bottom="1417" w:left="1417" w:header="708" w:footer="708" w:gutter="0"/>
          <w:cols w:space="708"/>
          <w:docGrid w:linePitch="360"/>
        </w:sectPr>
      </w:pPr>
    </w:p>
    <w:p w:rsidR="00144A25" w:rsidRPr="001F038B" w:rsidRDefault="00144A25" w:rsidP="00144A25">
      <w:pPr>
        <w:spacing w:line="288" w:lineRule="auto"/>
        <w:jc w:val="both"/>
        <w:rPr>
          <w:b/>
          <w:bCs/>
          <w:color w:val="4F81BD" w:themeColor="accent1"/>
          <w:sz w:val="18"/>
          <w:szCs w:val="18"/>
        </w:rPr>
      </w:pPr>
      <w:r w:rsidRPr="001F038B">
        <w:rPr>
          <w:b/>
          <w:bCs/>
          <w:color w:val="4F81BD" w:themeColor="accent1"/>
          <w:sz w:val="18"/>
          <w:szCs w:val="18"/>
        </w:rPr>
        <w:t>Tabulka – Složená tabulka specifikací integračních vazeb mezi opatřeními programových rámců</w:t>
      </w:r>
    </w:p>
    <w:tbl>
      <w:tblPr>
        <w:tblW w:w="9640" w:type="dxa"/>
        <w:tblInd w:w="55" w:type="dxa"/>
        <w:tblCellMar>
          <w:left w:w="70" w:type="dxa"/>
          <w:right w:w="70" w:type="dxa"/>
        </w:tblCellMar>
        <w:tblLook w:val="04A0" w:firstRow="1" w:lastRow="0" w:firstColumn="1" w:lastColumn="0" w:noHBand="0" w:noVBand="1"/>
      </w:tblPr>
      <w:tblGrid>
        <w:gridCol w:w="2100"/>
        <w:gridCol w:w="7540"/>
      </w:tblGrid>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A_PR01</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2.4.1.A. Podpora udržitelnosti nemotorové a veřejné dopravy</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8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investic v oblasti dopravy (úpravy místních komunikací, nádraží, cyklostezky) mohou generovat dodatečné pracovní příležitosti a s využitím místních lidských zdrojů tak přispívat ke zvyšování kvality dopravní infrastruktury v regionu.</w:t>
            </w:r>
          </w:p>
        </w:tc>
      </w:tr>
      <w:tr w:rsidR="00144A25" w:rsidRPr="001F038B" w:rsidTr="007D6B99">
        <w:trPr>
          <w:trHeight w:val="186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místní komunikace v obci zaměřená na zvýšení bezpečnosti účastníků silničního provozu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Modernizace autobusového nádraží a přilehlého zázemí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3.4.1.A. Investice do revitalizace hmotných památek</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2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investic do významnějších oprav památek mohou generovat dodatečné pracovní příležitosti a s využitím lokálních lidských zdrojů tak přispívat k zachování místního kulturního dědictví.</w:t>
            </w:r>
          </w:p>
        </w:tc>
      </w:tr>
      <w:tr w:rsidR="00144A25" w:rsidRPr="001F038B" w:rsidTr="007D6B99">
        <w:trPr>
          <w:trHeight w:val="159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Rekonstrukce zámku vygeneruje pracovní příležitosti pro lokální firmy, resp. jejich zaměstnance a dodavatele.  Na takto vzniklá pracovní místa pak zaměstnavatelé čerpají podporu z veřejných zdrojů.</w:t>
            </w:r>
            <w:r w:rsidRPr="001F038B">
              <w:rPr>
                <w:rFonts w:ascii="Calibri" w:eastAsia="Times New Roman" w:hAnsi="Calibri" w:cs="Calibri"/>
                <w:color w:val="000000"/>
                <w:sz w:val="20"/>
                <w:szCs w:val="20"/>
                <w:lang w:eastAsia="cs-CZ"/>
              </w:rPr>
              <w:br/>
              <w:t xml:space="preserve"> - Rekonstrukce parku kolem významné historické památky vygeneruje pracovní příležitosti pro lokální firmy, resp. jejich zaměstnance a dodavatele.  Na takto vzniklá pracovní místa pak zaměstnavatelé čerpají podporu z veřejných zdrojů.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B_PR01 </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4.2.2.A. Podpora pro-rodinných opatření</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5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Významná část pro-rodinných opatření je zaměřená na zlepšování zaměstnatelnosti především rodičů pečujících o nezletilé děti. Proto musejí být veřejné podpory podmínek pro nárůst zaměstnatelnosti nastaveny s ohledem na opatření vedoucí k možnosti zaměstnání rodičů nezletilých dětí.</w:t>
            </w:r>
          </w:p>
        </w:tc>
      </w:tr>
      <w:tr w:rsidR="00144A25" w:rsidRPr="001F038B" w:rsidTr="007D6B99">
        <w:trPr>
          <w:trHeight w:val="103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Pravidla umístění na podporovaná pracovní místa zohledňují potřeby osob pečujících o nezletilé děti (např. otevírací doby školek, disponibilita příměstských táborů atd.)</w:t>
            </w:r>
            <w:r w:rsidRPr="001F038B">
              <w:rPr>
                <w:rFonts w:ascii="Calibri" w:eastAsia="Times New Roman" w:hAnsi="Calibri" w:cs="Calibri"/>
                <w:color w:val="000000"/>
                <w:sz w:val="20"/>
                <w:szCs w:val="20"/>
                <w:lang w:eastAsia="cs-CZ"/>
              </w:rPr>
              <w:br/>
              <w:t xml:space="preserve"> - Naopak pro rodinná opatření (dětské skupiny, příměstské tábory) respektují nároky a potřeby na zaměstnání rodičů</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Default="00144A25" w:rsidP="007D6B99">
            <w:pPr>
              <w:spacing w:after="0" w:line="240" w:lineRule="auto"/>
              <w:rPr>
                <w:rFonts w:ascii="Calibri" w:eastAsia="Times New Roman" w:hAnsi="Calibri" w:cs="Calibri"/>
                <w:color w:val="000000"/>
                <w:sz w:val="20"/>
                <w:szCs w:val="20"/>
                <w:lang w:eastAsia="cs-CZ"/>
              </w:rPr>
            </w:pPr>
          </w:p>
          <w:p w:rsidR="00B73B01" w:rsidRDefault="00B73B01" w:rsidP="007D6B99">
            <w:pPr>
              <w:spacing w:after="0" w:line="240" w:lineRule="auto"/>
              <w:rPr>
                <w:rFonts w:ascii="Calibri" w:eastAsia="Times New Roman" w:hAnsi="Calibri" w:cs="Calibri"/>
                <w:color w:val="000000"/>
                <w:sz w:val="20"/>
                <w:szCs w:val="20"/>
                <w:lang w:eastAsia="cs-CZ"/>
              </w:rPr>
            </w:pPr>
          </w:p>
          <w:p w:rsidR="00B73B01" w:rsidRPr="001F038B" w:rsidRDefault="00B73B01"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A_PR03</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4.3.1.A. Zvyšování konkurenceschopnosti nezemědělských podnikatelů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Některé typy podpory nezemědělských aktivit místních podnikatelů generují nové pracovní příležitosti, které jsou předpokladem ekonomické prosperity regionu).</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Malý podnik obdrží podporu na investici do nového strojního vybavení. Díky tomu podnik rozšíří výrobu a vytvoří nová pracovní místa.</w:t>
            </w:r>
            <w:r w:rsidRPr="001F038B">
              <w:rPr>
                <w:rFonts w:ascii="Calibri" w:eastAsia="Times New Roman" w:hAnsi="Calibri" w:cs="Calibri"/>
                <w:color w:val="000000"/>
                <w:sz w:val="20"/>
                <w:szCs w:val="20"/>
                <w:lang w:eastAsia="cs-CZ"/>
              </w:rPr>
              <w:br/>
              <w:t xml:space="preserve"> - Středně velký podnik obdrží podporu na technologickou inovaci výrobního procesu. Tato inovace umožní snížení jednotkových nákladů a v důsledku toho navýšení prodeje (výstup). Na navýšení produkce se váže zvýšení poptávky podniku po pracovní síle (vstup).</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B_PR02</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4.5.1.A. Podpora zázemí sociálních podniků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V rámci podpory vzniku pracovních míst je potřeba podporovat také specificky sociální podnikání - zaměstnání osob ohrožených sociálním vyloučením přispívá k všestrannému rozvoji místní ekonomiky, který nevynechává uvedené skupiny obyvatel (princip rovných příležitostí).</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Sociálnímu podniku je poskytnuta podpora na pořízení vybavení, díky kterému dojde </w:t>
            </w:r>
            <w:r w:rsidRPr="001F038B">
              <w:rPr>
                <w:rFonts w:ascii="Calibri" w:eastAsia="Times New Roman" w:hAnsi="Calibri" w:cs="Calibri"/>
                <w:color w:val="000000"/>
                <w:sz w:val="20"/>
                <w:szCs w:val="20"/>
                <w:lang w:eastAsia="cs-CZ"/>
              </w:rPr>
              <w:br/>
              <w:t>k vytvoření pracovního místa, které bude obsazeno osobou ohroženou vyloučením na trhu práce.</w:t>
            </w:r>
            <w:r w:rsidRPr="001F038B">
              <w:rPr>
                <w:rFonts w:ascii="Calibri" w:eastAsia="Times New Roman" w:hAnsi="Calibri" w:cs="Calibri"/>
                <w:color w:val="000000"/>
                <w:sz w:val="20"/>
                <w:szCs w:val="20"/>
                <w:lang w:eastAsia="cs-CZ"/>
              </w:rPr>
              <w:br/>
              <w:t xml:space="preserve"> - Sociální podnik získá podporu na rekonstrukci prostor k poskytování služeb (např. prádelna). Díky tomu je schopen vytvořit několik nových pracovních míst.</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B_PR03 </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V rámci podpory vzniku pracovních míst je potřeba podporovat také specificky sociální podnikání - zaměstnání osob ohrožených sociálním vyloučením přispívá k všestrannému rozvoji místní ekonomiky, který nevynechává uvedené skupiny obyvatel (princip rovných příležitostí).</w:t>
            </w:r>
          </w:p>
        </w:tc>
      </w:tr>
      <w:tr w:rsidR="00144A25" w:rsidRPr="001F038B" w:rsidTr="007D6B99">
        <w:trPr>
          <w:trHeight w:val="138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24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Sociálnímu podniku je poskytnuta podpora mzdové náklady na pracovním místo, které bude obsazeno osobou ohroženou vyloučením na trhu práce.</w:t>
            </w:r>
            <w:r w:rsidRPr="001F038B">
              <w:rPr>
                <w:rFonts w:ascii="Calibri" w:eastAsia="Times New Roman" w:hAnsi="Calibri" w:cs="Calibri"/>
                <w:color w:val="000000"/>
                <w:sz w:val="20"/>
                <w:szCs w:val="20"/>
                <w:lang w:eastAsia="cs-CZ"/>
              </w:rPr>
              <w:br/>
              <w:t xml:space="preserve"> - Sociální může vytvořit dodatečné pracovní místo díky specializované podpoře svých zaměstnanců - např. pokrytí mzdy vedoucího výroby, který pracuje se znevýhodněnou cílovou skupinou.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4.2.1.A. Veřejná podpora podmínek pro nárůst zaměstnanosti</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6.3.2.A. Podpora poskytování sociálních a inkluzivních služeb</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61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zaměstnanosti jako nástroje sociální inkluze je významným předpokladem pro udržitelný rozvoj regionu, který se týká všech skupin obyvatel.</w:t>
            </w:r>
          </w:p>
        </w:tc>
      </w:tr>
      <w:tr w:rsidR="00144A25" w:rsidRPr="001F038B" w:rsidTr="007D6B99">
        <w:trPr>
          <w:trHeight w:val="102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Součástí na inkluzi zaměřených služeb pro osoby v produktivním věku je nabídka možností získání zaměstnání spolu s případnou asistencí v této oblasti.</w:t>
            </w:r>
            <w:r w:rsidRPr="001F038B">
              <w:rPr>
                <w:rFonts w:ascii="Calibri" w:eastAsia="Times New Roman" w:hAnsi="Calibri" w:cs="Calibri"/>
                <w:color w:val="000000"/>
                <w:sz w:val="20"/>
                <w:szCs w:val="20"/>
                <w:lang w:eastAsia="cs-CZ"/>
              </w:rPr>
              <w:br/>
              <w:t xml:space="preserve"> - Preventivní vzdělávací programy s cílem sociální inkluze zahrnují významnou část věnovanou zaměstnanosti - získání a udržení zaměstnání.</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B_PR04</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4.2.2.A. Podpora pro-rodinných opatření </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6.1.1.A. Investice do kapacit a kvality škol a školek </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79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Realizace efektivních pro-rodinných opatření ve smyslu zajištění odpovídající péče o nezletilé děti pracujících rodičů je podmíněna dostupností dostatečných hmotných a lidských kapacit mateřských a základních škol.</w:t>
            </w:r>
          </w:p>
        </w:tc>
      </w:tr>
      <w:tr w:rsidR="00144A25" w:rsidRPr="001F038B" w:rsidTr="007D6B99">
        <w:trPr>
          <w:trHeight w:val="57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Rozšíření kapacity mateřské školy, které umožní umísťování dětí od 2,5 roku věku</w:t>
            </w:r>
            <w:r w:rsidRPr="001F038B">
              <w:rPr>
                <w:rFonts w:ascii="Calibri" w:eastAsia="Times New Roman" w:hAnsi="Calibri" w:cs="Calibri"/>
                <w:color w:val="000000"/>
                <w:sz w:val="20"/>
                <w:szCs w:val="20"/>
                <w:lang w:eastAsia="cs-CZ"/>
              </w:rPr>
              <w:br/>
              <w:t xml:space="preserve"> - Podpora zázemí mateřské školy, které umožní kvalitní celodenní péči o děti.</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B_PR05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4.5.1.A. Podpora zázemí sociálních podniků </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4.5.2.A. Podpora činností vedoucích k rozvoji sociálních podniků </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27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Investiční projekty zaměřené na modernizaci stávajících či zřízení nových provozů sociálních podniků musejí zohledňovat hlavní cíl činnosti sociálních podniků - řešení společenských problémů za pomoci podnikatelské činnosti a tím přispívat k prosperitě a dostatku pracovních míst v regionu. Obě opatření jsou zároveň komplementární z hlediska ekonomické návratnosti investic.</w:t>
            </w:r>
          </w:p>
        </w:tc>
      </w:tr>
      <w:tr w:rsidR="00144A25" w:rsidRPr="001F038B" w:rsidTr="007D6B99">
        <w:trPr>
          <w:trHeight w:val="159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Podpora rekonstrukce kavárny zaměstnávající osoby znevýhodněné na trhu práce reflektuje specifické potřeby cílové skupiny - např. umožňuje bezbariérový přístup, poskytuje dostatek prostoru pro vozíčkáře apod.</w:t>
            </w:r>
            <w:r w:rsidRPr="001F038B">
              <w:rPr>
                <w:rFonts w:ascii="Calibri" w:eastAsia="Times New Roman" w:hAnsi="Calibri" w:cs="Calibri"/>
                <w:color w:val="000000"/>
                <w:sz w:val="20"/>
                <w:szCs w:val="20"/>
                <w:lang w:eastAsia="cs-CZ"/>
              </w:rPr>
              <w:br/>
              <w:t xml:space="preserve"> - Sociální podnik obdrží investiční podporu na zřízení a vybavení chráněné dílny. Ekonomické přežití sociálního podniku však umožní až komplementární podpora na udržení 5 pracovních míst pro znevýhodněné, která zajistí překonání počátečního období provozní ztráty.</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A_PR05</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4.5.2.A. Podpora činností vedoucích k rozvoji sociálních podniků</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6.3.2.A. Podpora poskytování sociálních a inkluzivních služeb</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Podpora sociální inkluze formou podpory sociálního podnikání přispívá k dopadu nabízených inkluzivních sociálních služeb na území MAS. Nabídka sociálních a dalších služeb vedoucích k sociální inkluzi je vhodně doplňována nabídkou pracovních příležitostí v sociálních podnicích.</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Klienti využívající inkluzivní sociální služby konkrétního centra mají možnost získat pracovní uplatnění v nedalekém sociálním podniku.</w:t>
            </w:r>
            <w:r w:rsidRPr="001F038B">
              <w:rPr>
                <w:rFonts w:ascii="Calibri" w:eastAsia="Times New Roman" w:hAnsi="Calibri" w:cs="Calibri"/>
                <w:color w:val="000000"/>
                <w:sz w:val="20"/>
                <w:szCs w:val="20"/>
                <w:lang w:eastAsia="cs-CZ"/>
              </w:rPr>
              <w:br/>
              <w:t xml:space="preserve"> - Podpořené inkluzivní služby zahrnují mj. pracovní terapii a jejich poskytovatel spolupracuje se sociálním podnikem, kde mohou klienti pracovat.</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4.6.2.A. Podpora konkurenceschopnosti lesního hospodářství a lesnických produktů</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4.6.4.A. Zlepšování lesnické infrastruktury</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5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Zlepšování lesnické infrastruktury přispívá ke zvyšování konkurenceschopnosti konkrétních lesních hospodářů a přispívá tím k ekonomické prosperitě regionu.</w:t>
            </w:r>
          </w:p>
        </w:tc>
      </w:tr>
      <w:tr w:rsidR="00144A25" w:rsidRPr="001F038B" w:rsidTr="007D6B99">
        <w:trPr>
          <w:trHeight w:val="55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Díky opravě havarijního stavu lesní cesty získá lesní hospodář přístup s technikou na dřívě obtížně přístupné lesní pozemky a může na nich provádět těžbu porostu v místním věku.</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A_PR07</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6.1.1.A. Investice do kapacit a kvality škol a školek </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6.3.1.A. Investice do infrastruktury pro služby vedoucí k sociální inkluzi </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Slabá integrační vazba - synergie</w:t>
            </w:r>
          </w:p>
        </w:tc>
      </w:tr>
      <w:tr w:rsidR="00144A25" w:rsidRPr="001F038B" w:rsidTr="007D6B99">
        <w:trPr>
          <w:trHeight w:val="87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Ke kvalitě vzdělávacích zařízení přispívá jejich schopnost zajistit vzdělávací možnosti také osobám ohroženým sociálním vyloučením - při investicích do objektů škol a školek jde zpravidla o zajištění bezbariérovosti a souvisejících stavebních prvků.</w:t>
            </w:r>
          </w:p>
        </w:tc>
      </w:tr>
      <w:tr w:rsidR="00144A25" w:rsidRPr="001F038B" w:rsidTr="007D6B99">
        <w:trPr>
          <w:trHeight w:val="82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V rámci rekonstrukce učeben jsou v budově základní školy doplněny bezbariérové prvky tak, aby školu mohli navštěvovat žáci s pohybovým hendikepem.</w:t>
            </w:r>
            <w:r w:rsidRPr="001F038B">
              <w:rPr>
                <w:rFonts w:ascii="Calibri" w:eastAsia="Times New Roman" w:hAnsi="Calibri" w:cs="Calibri"/>
                <w:color w:val="000000"/>
                <w:sz w:val="20"/>
                <w:szCs w:val="20"/>
                <w:lang w:eastAsia="cs-CZ"/>
              </w:rPr>
              <w:br/>
              <w:t xml:space="preserve"> - Při rekonstrukci školní budovy je část sociálních zařízení upravena pro používání vozíčkáři.</w:t>
            </w:r>
          </w:p>
        </w:tc>
      </w:tr>
      <w:tr w:rsidR="00144A25" w:rsidRPr="001F038B" w:rsidTr="007D6B99">
        <w:trPr>
          <w:trHeight w:val="300"/>
        </w:trPr>
        <w:tc>
          <w:tcPr>
            <w:tcW w:w="210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nil"/>
              <w:right w:val="nil"/>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r>
      <w:tr w:rsidR="00144A25" w:rsidRPr="001F038B" w:rsidTr="007D6B99">
        <w:trPr>
          <w:trHeight w:val="300"/>
        </w:trPr>
        <w:tc>
          <w:tcPr>
            <w:tcW w:w="2100"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Úroveň</w:t>
            </w:r>
          </w:p>
        </w:tc>
        <w:tc>
          <w:tcPr>
            <w:tcW w:w="7540" w:type="dxa"/>
            <w:tcBorders>
              <w:top w:val="single" w:sz="4" w:space="0" w:color="auto"/>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Opatření programových rámců</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Označení vazby</w:t>
            </w:r>
          </w:p>
        </w:tc>
        <w:tc>
          <w:tcPr>
            <w:tcW w:w="7540" w:type="dxa"/>
            <w:tcBorders>
              <w:top w:val="nil"/>
              <w:left w:val="nil"/>
              <w:bottom w:val="single" w:sz="4" w:space="0" w:color="auto"/>
              <w:right w:val="single" w:sz="4" w:space="0" w:color="auto"/>
            </w:tcBorders>
            <w:shd w:val="clear" w:color="auto" w:fill="auto"/>
            <w:noWrap/>
            <w:vAlign w:val="bottom"/>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B_PR06</w:t>
            </w:r>
          </w:p>
        </w:tc>
      </w:tr>
      <w:tr w:rsidR="00144A25" w:rsidRPr="001F038B" w:rsidTr="007D6B99">
        <w:trPr>
          <w:trHeight w:val="300"/>
        </w:trPr>
        <w:tc>
          <w:tcPr>
            <w:tcW w:w="2100" w:type="dxa"/>
            <w:vMerge w:val="restart"/>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Dvojice opatření</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6.3.1.A. Investice do infrastruktury pro služby vedoucí k sociální inkluzi</w:t>
            </w:r>
          </w:p>
        </w:tc>
      </w:tr>
      <w:tr w:rsidR="00144A25" w:rsidRPr="001F038B" w:rsidTr="007D6B99">
        <w:trPr>
          <w:trHeight w:val="300"/>
        </w:trPr>
        <w:tc>
          <w:tcPr>
            <w:tcW w:w="2100" w:type="dxa"/>
            <w:vMerge/>
            <w:tcBorders>
              <w:top w:val="nil"/>
              <w:left w:val="single" w:sz="4" w:space="0" w:color="auto"/>
              <w:bottom w:val="single" w:sz="4" w:space="0" w:color="auto"/>
              <w:right w:val="single" w:sz="4" w:space="0" w:color="auto"/>
            </w:tcBorders>
            <w:vAlign w:val="center"/>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6.3.2.A. Podpora poskytování sociálních a inkluzivních služeb </w:t>
            </w:r>
          </w:p>
        </w:tc>
      </w:tr>
      <w:tr w:rsidR="00144A25" w:rsidRPr="001F038B" w:rsidTr="007D6B99">
        <w:trPr>
          <w:trHeight w:val="30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Typ integrační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Silná integrační vazba - podmíněnost mezi opatřeními</w:t>
            </w:r>
          </w:p>
        </w:tc>
      </w:tr>
      <w:tr w:rsidR="00144A25" w:rsidRPr="001F038B" w:rsidTr="007D6B99">
        <w:trPr>
          <w:trHeight w:val="1110"/>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Popis vazby</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Investice do infrastruktury pro sociální inkluzi musejí být primárně zaměřeny na kvalitu a požadovaný rozsah služeb, které mají být v budované či modernizované infrastruktuře poskytovány (Nutno zohlednit specifika cílových skupin - např. požadavek na bezbariérovost apod.).</w:t>
            </w:r>
          </w:p>
        </w:tc>
      </w:tr>
      <w:tr w:rsidR="00144A25" w:rsidRPr="001F038B" w:rsidTr="007D6B99">
        <w:trPr>
          <w:trHeight w:val="1065"/>
        </w:trPr>
        <w:tc>
          <w:tcPr>
            <w:tcW w:w="2100" w:type="dxa"/>
            <w:tcBorders>
              <w:top w:val="nil"/>
              <w:left w:val="single" w:sz="4" w:space="0" w:color="auto"/>
              <w:bottom w:val="single" w:sz="4" w:space="0" w:color="auto"/>
              <w:right w:val="single" w:sz="4" w:space="0" w:color="auto"/>
            </w:tcBorders>
            <w:shd w:val="clear" w:color="000000" w:fill="DA9694"/>
            <w:noWrap/>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Příklady aktivit/projektů</w:t>
            </w:r>
          </w:p>
        </w:tc>
        <w:tc>
          <w:tcPr>
            <w:tcW w:w="7540" w:type="dxa"/>
            <w:tcBorders>
              <w:top w:val="nil"/>
              <w:left w:val="nil"/>
              <w:bottom w:val="single" w:sz="4" w:space="0" w:color="auto"/>
              <w:right w:val="single" w:sz="4" w:space="0" w:color="auto"/>
            </w:tcBorders>
            <w:shd w:val="clear" w:color="auto" w:fill="auto"/>
            <w:hideMark/>
          </w:tcPr>
          <w:p w:rsidR="00144A25" w:rsidRPr="001F038B" w:rsidRDefault="00144A25" w:rsidP="007D6B99">
            <w:pPr>
              <w:spacing w:after="0" w:line="240" w:lineRule="auto"/>
              <w:rPr>
                <w:rFonts w:ascii="Calibri" w:eastAsia="Times New Roman" w:hAnsi="Calibri" w:cs="Calibri"/>
                <w:color w:val="000000"/>
                <w:sz w:val="20"/>
                <w:szCs w:val="20"/>
                <w:lang w:eastAsia="cs-CZ"/>
              </w:rPr>
            </w:pPr>
            <w:r w:rsidRPr="001F038B">
              <w:rPr>
                <w:rFonts w:ascii="Calibri" w:eastAsia="Times New Roman" w:hAnsi="Calibri" w:cs="Calibri"/>
                <w:color w:val="000000"/>
                <w:sz w:val="20"/>
                <w:szCs w:val="20"/>
                <w:lang w:eastAsia="cs-CZ"/>
              </w:rPr>
              <w:t xml:space="preserve"> - Modernizace zařízení poskytujícího sociální služby zdravotně hendikepovaným je primárně zaměřena na zvýšení kvality a kapacity poskytovaných služeb.</w:t>
            </w:r>
            <w:r w:rsidRPr="001F038B">
              <w:rPr>
                <w:rFonts w:ascii="Calibri" w:eastAsia="Times New Roman" w:hAnsi="Calibri" w:cs="Calibri"/>
                <w:color w:val="000000"/>
                <w:sz w:val="20"/>
                <w:szCs w:val="20"/>
                <w:lang w:eastAsia="cs-CZ"/>
              </w:rPr>
              <w:br/>
              <w:t xml:space="preserve"> - Výstavba nového komunitního centra reflektuje potřeby hlavních skupin osob ohrožených sociálním vyloučením v dané lokalitě.</w:t>
            </w:r>
          </w:p>
        </w:tc>
      </w:tr>
    </w:tbl>
    <w:p w:rsidR="00144A25" w:rsidRPr="001F038B" w:rsidRDefault="00144A25" w:rsidP="00144A25"/>
    <w:p w:rsidR="00144A25" w:rsidRDefault="00144A25" w:rsidP="00144A25"/>
    <w:p w:rsidR="00144A25" w:rsidRDefault="00144A25" w:rsidP="00144A25"/>
    <w:p w:rsidR="00144A25" w:rsidRDefault="00144A25" w:rsidP="00144A25"/>
    <w:p w:rsidR="00144A25" w:rsidRPr="001F038B" w:rsidRDefault="00144A25" w:rsidP="00144A25"/>
    <w:p w:rsidR="00144A25" w:rsidRPr="001F038B" w:rsidRDefault="00144A25" w:rsidP="00144A25"/>
    <w:tbl>
      <w:tblPr>
        <w:tblW w:w="9654" w:type="dxa"/>
        <w:tblInd w:w="55" w:type="dxa"/>
        <w:tblCellMar>
          <w:left w:w="70" w:type="dxa"/>
          <w:right w:w="70" w:type="dxa"/>
        </w:tblCellMar>
        <w:tblLook w:val="04A0" w:firstRow="1" w:lastRow="0" w:firstColumn="1" w:lastColumn="0" w:noHBand="0" w:noVBand="1"/>
      </w:tblPr>
      <w:tblGrid>
        <w:gridCol w:w="2142"/>
        <w:gridCol w:w="7512"/>
      </w:tblGrid>
      <w:tr w:rsidR="00144A25" w:rsidRPr="00144A25" w:rsidTr="007D6B99">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DA9694"/>
            <w:noWrap/>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Úroveň</w:t>
            </w:r>
          </w:p>
        </w:tc>
        <w:tc>
          <w:tcPr>
            <w:tcW w:w="7512"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Označení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A_PR08</w:t>
            </w:r>
          </w:p>
        </w:tc>
      </w:tr>
      <w:tr w:rsidR="00144A25" w:rsidRPr="00144A25" w:rsidTr="007D6B99">
        <w:trPr>
          <w:trHeight w:val="300"/>
        </w:trPr>
        <w:tc>
          <w:tcPr>
            <w:tcW w:w="2142" w:type="dxa"/>
            <w:vMerge w:val="restart"/>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Dvojice opatření</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3.5.1.A. Revitalizace veřejných prostranství</w:t>
            </w:r>
          </w:p>
        </w:tc>
      </w:tr>
      <w:tr w:rsidR="00144A25" w:rsidRPr="00144A25" w:rsidTr="007D6B99">
        <w:trPr>
          <w:trHeight w:val="300"/>
        </w:trPr>
        <w:tc>
          <w:tcPr>
            <w:tcW w:w="2142" w:type="dxa"/>
            <w:vMerge/>
            <w:tcBorders>
              <w:top w:val="nil"/>
              <w:left w:val="single" w:sz="4" w:space="0" w:color="auto"/>
              <w:bottom w:val="single" w:sz="4" w:space="0" w:color="auto"/>
              <w:right w:val="single" w:sz="4" w:space="0" w:color="auto"/>
            </w:tcBorders>
            <w:vAlign w:val="center"/>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2.4.1.A. Podpora udržitelnosti nemotorové a veřejné dopravy</w:t>
            </w:r>
          </w:p>
        </w:tc>
      </w:tr>
      <w:tr w:rsidR="00144A25" w:rsidRPr="00144A25" w:rsidTr="007D6B99">
        <w:trPr>
          <w:trHeight w:val="30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Typ integrační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17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Popis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zvyšování bezpečnosti v dopravě a do podpory nemotorové a veřejné dopravy zároveň podporují záměry a potřeby revitalizací veřejných prostranství. Tím je podporován rozvoj infrastruktury v souladu s nároky na estetiku, ekologické funkce a užitnou hodnotu veřejného prostoru.</w:t>
            </w:r>
          </w:p>
        </w:tc>
      </w:tr>
      <w:tr w:rsidR="00144A25" w:rsidRPr="00144A25" w:rsidTr="007D6B99">
        <w:trPr>
          <w:trHeight w:val="219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Příklady aktivit/projektů</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Obec provede kompletní revitalizaci návsi a části přilehlých ulic s ohledem na zvýšení bezpečnosti chodců, cyklistů a dalších účastníků silničního provozu (nové přechody pro chodce, úprava profilu komunikace, stojany na kola a další prvky). Součástí projektu je revitalizace a doplnění veřené zeleně.</w:t>
            </w:r>
            <w:r w:rsidRPr="00144A25">
              <w:rPr>
                <w:rFonts w:ascii="Calibri" w:eastAsia="Times New Roman" w:hAnsi="Calibri" w:cs="Calibri"/>
                <w:color w:val="000000"/>
                <w:sz w:val="20"/>
                <w:szCs w:val="20"/>
                <w:highlight w:val="yellow"/>
                <w:lang w:eastAsia="cs-CZ"/>
              </w:rPr>
              <w:br/>
              <w:t xml:space="preserve"> - Obec modernizuje menší autobusové nádraží a přilehlé parkoviště pro osobní automobily. Součástí projektu je revitalizace a doplnění veřené zeleně. Tím výrazně zvýší užitnou a estetickou hodnotu veřejného prostranství ve svém intravilánu.</w:t>
            </w:r>
          </w:p>
        </w:tc>
      </w:tr>
      <w:tr w:rsidR="00144A25" w:rsidRPr="00144A25" w:rsidTr="007D6B99">
        <w:trPr>
          <w:trHeight w:val="300"/>
        </w:trPr>
        <w:tc>
          <w:tcPr>
            <w:tcW w:w="2142" w:type="dxa"/>
            <w:tcBorders>
              <w:top w:val="nil"/>
              <w:left w:val="nil"/>
              <w:bottom w:val="nil"/>
              <w:right w:val="nil"/>
            </w:tcBorders>
            <w:shd w:val="clear" w:color="auto" w:fill="auto"/>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p>
        </w:tc>
        <w:tc>
          <w:tcPr>
            <w:tcW w:w="7512" w:type="dxa"/>
            <w:tcBorders>
              <w:top w:val="nil"/>
              <w:left w:val="nil"/>
              <w:bottom w:val="nil"/>
              <w:right w:val="nil"/>
            </w:tcBorders>
            <w:shd w:val="clear" w:color="auto" w:fill="auto"/>
            <w:noWrap/>
            <w:vAlign w:val="bottom"/>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p>
        </w:tc>
      </w:tr>
      <w:tr w:rsidR="00144A25" w:rsidRPr="00144A25" w:rsidTr="007D6B99">
        <w:trPr>
          <w:trHeight w:val="300"/>
        </w:trPr>
        <w:tc>
          <w:tcPr>
            <w:tcW w:w="2142" w:type="dxa"/>
            <w:tcBorders>
              <w:top w:val="single" w:sz="4" w:space="0" w:color="auto"/>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Úroveň</w:t>
            </w:r>
          </w:p>
        </w:tc>
        <w:tc>
          <w:tcPr>
            <w:tcW w:w="7512" w:type="dxa"/>
            <w:tcBorders>
              <w:top w:val="single" w:sz="4" w:space="0" w:color="auto"/>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Všechna opatření strategie vs. opatření programových rámců</w:t>
            </w:r>
          </w:p>
        </w:tc>
      </w:tr>
      <w:tr w:rsidR="00144A25" w:rsidRPr="00144A25" w:rsidTr="007D6B99">
        <w:trPr>
          <w:trHeight w:val="30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Označení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A_PR09</w:t>
            </w:r>
          </w:p>
        </w:tc>
      </w:tr>
      <w:tr w:rsidR="00144A25" w:rsidRPr="00144A25" w:rsidTr="007D6B99">
        <w:trPr>
          <w:trHeight w:val="510"/>
        </w:trPr>
        <w:tc>
          <w:tcPr>
            <w:tcW w:w="2142" w:type="dxa"/>
            <w:vMerge w:val="restart"/>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Dvojice opatření</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5.2.1.A. Zlepšování vodního režimu v zemědělské krajině </w:t>
            </w:r>
            <w:r w:rsidRPr="00144A25">
              <w:rPr>
                <w:rFonts w:ascii="Calibri" w:eastAsia="Times New Roman" w:hAnsi="Calibri" w:cs="Calibri"/>
                <w:color w:val="000000"/>
                <w:sz w:val="20"/>
                <w:szCs w:val="20"/>
                <w:highlight w:val="yellow"/>
                <w:lang w:eastAsia="cs-CZ"/>
              </w:rPr>
              <w:br/>
              <w:t xml:space="preserve">a v intravilánu </w:t>
            </w:r>
          </w:p>
        </w:tc>
      </w:tr>
      <w:tr w:rsidR="00144A25" w:rsidRPr="00144A25" w:rsidTr="007D6B99">
        <w:trPr>
          <w:trHeight w:val="300"/>
        </w:trPr>
        <w:tc>
          <w:tcPr>
            <w:tcW w:w="2142" w:type="dxa"/>
            <w:vMerge/>
            <w:tcBorders>
              <w:top w:val="nil"/>
              <w:left w:val="single" w:sz="4" w:space="0" w:color="auto"/>
              <w:bottom w:val="single" w:sz="4" w:space="0" w:color="auto"/>
              <w:right w:val="single" w:sz="4" w:space="0" w:color="auto"/>
            </w:tcBorders>
            <w:vAlign w:val="center"/>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5.1.1.A. Investice do ochrany životního prostředí a prostupnosti krajiny </w:t>
            </w:r>
          </w:p>
        </w:tc>
      </w:tr>
      <w:tr w:rsidR="00144A25" w:rsidRPr="00144A25" w:rsidTr="007D6B99">
        <w:trPr>
          <w:trHeight w:val="30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Typ integrační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Slabá integrační vazba - synergie</w:t>
            </w:r>
          </w:p>
        </w:tc>
      </w:tr>
      <w:tr w:rsidR="00144A25" w:rsidRPr="00144A25" w:rsidTr="007D6B99">
        <w:trPr>
          <w:trHeight w:val="153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Popis vazby</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Investice do obnovy krajiny v poškozených oblastech, přirozenější segmentace krajiny, podpora biodiverzity a přirozených funkcí krajiny, zakládání a zlepšování funkčního stavu biocenter a biokoridorů často zahrnují také dílčí opatření na zlepšení vodního režimu krajiny - zadržování vody v obdobích sucha a zvyšování odolnosti vůči extrémně intenzivním srážkám a povodním.</w:t>
            </w:r>
          </w:p>
        </w:tc>
      </w:tr>
      <w:tr w:rsidR="00144A25" w:rsidRPr="00144A25" w:rsidTr="007D6B99">
        <w:trPr>
          <w:trHeight w:val="1020"/>
        </w:trPr>
        <w:tc>
          <w:tcPr>
            <w:tcW w:w="2142" w:type="dxa"/>
            <w:tcBorders>
              <w:top w:val="nil"/>
              <w:left w:val="single" w:sz="4" w:space="0" w:color="auto"/>
              <w:bottom w:val="single" w:sz="4" w:space="0" w:color="auto"/>
              <w:right w:val="single" w:sz="4" w:space="0" w:color="auto"/>
            </w:tcBorders>
            <w:shd w:val="clear" w:color="000000" w:fill="DA9694"/>
            <w:hideMark/>
          </w:tcPr>
          <w:p w:rsidR="00144A25" w:rsidRPr="00784482" w:rsidRDefault="00144A25" w:rsidP="007D6B99">
            <w:pPr>
              <w:spacing w:after="0" w:line="240" w:lineRule="auto"/>
              <w:rPr>
                <w:rFonts w:ascii="Calibri" w:eastAsia="Times New Roman" w:hAnsi="Calibri" w:cs="Calibri"/>
                <w:color w:val="000000"/>
                <w:sz w:val="20"/>
                <w:szCs w:val="20"/>
                <w:lang w:eastAsia="cs-CZ"/>
              </w:rPr>
            </w:pPr>
            <w:r w:rsidRPr="00784482">
              <w:rPr>
                <w:rFonts w:ascii="Calibri" w:eastAsia="Times New Roman" w:hAnsi="Calibri" w:cs="Calibri"/>
                <w:color w:val="000000"/>
                <w:sz w:val="20"/>
                <w:szCs w:val="20"/>
                <w:lang w:eastAsia="cs-CZ"/>
              </w:rPr>
              <w:t>Příklady aktivit/projektů</w:t>
            </w:r>
          </w:p>
        </w:tc>
        <w:tc>
          <w:tcPr>
            <w:tcW w:w="7512" w:type="dxa"/>
            <w:tcBorders>
              <w:top w:val="nil"/>
              <w:left w:val="nil"/>
              <w:bottom w:val="single" w:sz="4" w:space="0" w:color="auto"/>
              <w:right w:val="single" w:sz="4" w:space="0" w:color="auto"/>
            </w:tcBorders>
            <w:shd w:val="clear" w:color="auto" w:fill="auto"/>
            <w:hideMark/>
          </w:tcPr>
          <w:p w:rsidR="00144A25" w:rsidRPr="00144A25" w:rsidRDefault="00144A25" w:rsidP="007D6B99">
            <w:pPr>
              <w:spacing w:after="0" w:line="240" w:lineRule="auto"/>
              <w:rPr>
                <w:rFonts w:ascii="Calibri" w:eastAsia="Times New Roman" w:hAnsi="Calibri" w:cs="Calibri"/>
                <w:color w:val="000000"/>
                <w:sz w:val="20"/>
                <w:szCs w:val="20"/>
                <w:highlight w:val="yellow"/>
                <w:lang w:eastAsia="cs-CZ"/>
              </w:rPr>
            </w:pPr>
            <w:r w:rsidRPr="00144A25">
              <w:rPr>
                <w:rFonts w:ascii="Calibri" w:eastAsia="Times New Roman" w:hAnsi="Calibri" w:cs="Calibri"/>
                <w:color w:val="000000"/>
                <w:sz w:val="20"/>
                <w:szCs w:val="20"/>
                <w:highlight w:val="yellow"/>
                <w:lang w:eastAsia="cs-CZ"/>
              </w:rPr>
              <w:t xml:space="preserve"> - V rámci obnovy lokálního biocentra byla vybudována soustava drobných jezírek, jejichž cílem je mj. akumulace vody v krajině a vytvoření biotopu pro obojživelníky a další živočichy.</w:t>
            </w:r>
            <w:r w:rsidRPr="00144A25">
              <w:rPr>
                <w:rFonts w:ascii="Calibri" w:eastAsia="Times New Roman" w:hAnsi="Calibri" w:cs="Calibri"/>
                <w:color w:val="000000"/>
                <w:sz w:val="20"/>
                <w:szCs w:val="20"/>
                <w:highlight w:val="yellow"/>
                <w:lang w:eastAsia="cs-CZ"/>
              </w:rPr>
              <w:br/>
              <w:t xml:space="preserve"> </w:t>
            </w:r>
          </w:p>
        </w:tc>
      </w:tr>
    </w:tbl>
    <w:p w:rsidR="00144A25" w:rsidRDefault="00144A25" w:rsidP="00144A25"/>
    <w:sectPr w:rsidR="00144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44" w:rsidRDefault="00377F44" w:rsidP="00B94D38">
      <w:pPr>
        <w:spacing w:after="0" w:line="240" w:lineRule="auto"/>
      </w:pPr>
      <w:r>
        <w:separator/>
      </w:r>
    </w:p>
  </w:endnote>
  <w:endnote w:type="continuationSeparator" w:id="0">
    <w:p w:rsidR="00377F44" w:rsidRDefault="00377F44" w:rsidP="00B9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44" w:rsidRDefault="00377F44" w:rsidP="00B94D38">
      <w:pPr>
        <w:spacing w:after="0" w:line="240" w:lineRule="auto"/>
      </w:pPr>
      <w:r>
        <w:separator/>
      </w:r>
    </w:p>
  </w:footnote>
  <w:footnote w:type="continuationSeparator" w:id="0">
    <w:p w:rsidR="00377F44" w:rsidRDefault="00377F44" w:rsidP="00B94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08D"/>
    <w:multiLevelType w:val="hybridMultilevel"/>
    <w:tmpl w:val="076C1514"/>
    <w:lvl w:ilvl="0" w:tplc="27262174">
      <w:start w:val="1"/>
      <w:numFmt w:val="bullet"/>
      <w:pStyle w:val="Odrvtab2"/>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385D09A8"/>
    <w:multiLevelType w:val="multilevel"/>
    <w:tmpl w:val="21F0638E"/>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50C31AE1"/>
    <w:multiLevelType w:val="hybridMultilevel"/>
    <w:tmpl w:val="3F6C80FE"/>
    <w:lvl w:ilvl="0" w:tplc="8F3674DA">
      <w:start w:val="1"/>
      <w:numFmt w:val="lowerLetter"/>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0543170"/>
    <w:multiLevelType w:val="hybridMultilevel"/>
    <w:tmpl w:val="EC4CD7F4"/>
    <w:lvl w:ilvl="0" w:tplc="78804C1A">
      <w:start w:val="1"/>
      <w:numFmt w:val="bullet"/>
      <w:pStyle w:val="Odrky1"/>
      <w:lvlText w:val=""/>
      <w:lvlJc w:val="left"/>
      <w:pPr>
        <w:ind w:left="723" w:hanging="360"/>
      </w:pPr>
      <w:rPr>
        <w:rFonts w:ascii="Symbol" w:hAnsi="Symbol" w:hint="default"/>
        <w:b/>
        <w:i w:val="0"/>
        <w:color w:val="95B3D7" w:themeColor="accent1" w:themeTint="99"/>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25"/>
    <w:rsid w:val="00144A25"/>
    <w:rsid w:val="00233195"/>
    <w:rsid w:val="00377F44"/>
    <w:rsid w:val="00534CFC"/>
    <w:rsid w:val="00577BD3"/>
    <w:rsid w:val="00843829"/>
    <w:rsid w:val="008A27B3"/>
    <w:rsid w:val="008E35F6"/>
    <w:rsid w:val="00B73B01"/>
    <w:rsid w:val="00B94D38"/>
    <w:rsid w:val="00C74220"/>
    <w:rsid w:val="00CF4BAA"/>
    <w:rsid w:val="00D83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A25"/>
  </w:style>
  <w:style w:type="paragraph" w:styleId="Nadpis1">
    <w:name w:val="heading 1"/>
    <w:basedOn w:val="Normln"/>
    <w:next w:val="Normln"/>
    <w:link w:val="Nadpis1Char"/>
    <w:uiPriority w:val="9"/>
    <w:qFormat/>
    <w:rsid w:val="00144A25"/>
    <w:pPr>
      <w:keepNext/>
      <w:keepLines/>
      <w:spacing w:before="480" w:after="0"/>
      <w:outlineLvl w:val="0"/>
    </w:pPr>
    <w:rPr>
      <w:rFonts w:eastAsiaTheme="majorEastAsia" w:cstheme="majorBidi"/>
      <w:b/>
      <w:bCs/>
      <w:color w:val="632423" w:themeColor="accent2" w:themeShade="80"/>
      <w:sz w:val="36"/>
      <w:szCs w:val="28"/>
    </w:rPr>
  </w:style>
  <w:style w:type="paragraph" w:styleId="Nadpis2">
    <w:name w:val="heading 2"/>
    <w:basedOn w:val="Normln"/>
    <w:next w:val="Normln"/>
    <w:link w:val="Nadpis2Char"/>
    <w:uiPriority w:val="9"/>
    <w:unhideWhenUsed/>
    <w:qFormat/>
    <w:rsid w:val="00144A25"/>
    <w:pPr>
      <w:keepNext/>
      <w:keepLines/>
      <w:spacing w:before="200" w:after="0" w:line="336" w:lineRule="auto"/>
      <w:ind w:left="360"/>
      <w:outlineLvl w:val="1"/>
    </w:pPr>
    <w:rPr>
      <w:rFonts w:eastAsiaTheme="majorEastAsia" w:cstheme="majorBidi"/>
      <w:b/>
      <w:bCs/>
      <w:color w:val="632423" w:themeColor="accent2" w:themeShade="80"/>
      <w:sz w:val="28"/>
      <w:szCs w:val="26"/>
    </w:rPr>
  </w:style>
  <w:style w:type="paragraph" w:styleId="Nadpis3">
    <w:name w:val="heading 3"/>
    <w:basedOn w:val="Normln"/>
    <w:next w:val="Normln"/>
    <w:link w:val="Nadpis3Char"/>
    <w:autoRedefine/>
    <w:uiPriority w:val="9"/>
    <w:unhideWhenUsed/>
    <w:qFormat/>
    <w:rsid w:val="00144A25"/>
    <w:pPr>
      <w:keepNext/>
      <w:keepLines/>
      <w:spacing w:before="120" w:after="120" w:line="288" w:lineRule="auto"/>
      <w:ind w:left="1134" w:hanging="567"/>
      <w:outlineLvl w:val="2"/>
    </w:pPr>
    <w:rPr>
      <w:rFonts w:eastAsiaTheme="majorEastAsia" w:cstheme="majorBidi"/>
      <w:b/>
      <w:bCs/>
      <w:color w:val="632423" w:themeColor="accent2" w:themeShade="80"/>
      <w:sz w:val="24"/>
      <w:szCs w:val="24"/>
    </w:rPr>
  </w:style>
  <w:style w:type="paragraph" w:styleId="Nadpis4">
    <w:name w:val="heading 4"/>
    <w:basedOn w:val="Normln"/>
    <w:next w:val="Normln"/>
    <w:link w:val="Nadpis4Char"/>
    <w:uiPriority w:val="9"/>
    <w:unhideWhenUsed/>
    <w:qFormat/>
    <w:rsid w:val="00144A25"/>
    <w:pPr>
      <w:keepNext/>
      <w:keepLines/>
      <w:spacing w:before="200" w:after="0"/>
      <w:outlineLvl w:val="3"/>
    </w:pPr>
    <w:rPr>
      <w:rFonts w:eastAsiaTheme="majorEastAsia" w:cstheme="majorBidi"/>
      <w:b/>
      <w:bCs/>
      <w:i/>
      <w:iCs/>
      <w:color w:val="632423" w:themeColor="accent2" w:themeShade="80"/>
    </w:rPr>
  </w:style>
  <w:style w:type="paragraph" w:styleId="Nadpis5">
    <w:name w:val="heading 5"/>
    <w:basedOn w:val="Normln"/>
    <w:next w:val="Normln"/>
    <w:link w:val="Nadpis5Char"/>
    <w:uiPriority w:val="9"/>
    <w:unhideWhenUsed/>
    <w:qFormat/>
    <w:rsid w:val="00144A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4A25"/>
    <w:rPr>
      <w:rFonts w:eastAsiaTheme="majorEastAsia" w:cstheme="majorBidi"/>
      <w:b/>
      <w:bCs/>
      <w:color w:val="632423" w:themeColor="accent2" w:themeShade="80"/>
      <w:sz w:val="36"/>
      <w:szCs w:val="28"/>
    </w:rPr>
  </w:style>
  <w:style w:type="character" w:customStyle="1" w:styleId="Nadpis2Char">
    <w:name w:val="Nadpis 2 Char"/>
    <w:basedOn w:val="Standardnpsmoodstavce"/>
    <w:link w:val="Nadpis2"/>
    <w:uiPriority w:val="9"/>
    <w:rsid w:val="00144A25"/>
    <w:rPr>
      <w:rFonts w:eastAsiaTheme="majorEastAsia" w:cstheme="majorBidi"/>
      <w:b/>
      <w:bCs/>
      <w:color w:val="632423" w:themeColor="accent2" w:themeShade="80"/>
      <w:sz w:val="28"/>
      <w:szCs w:val="26"/>
    </w:rPr>
  </w:style>
  <w:style w:type="character" w:customStyle="1" w:styleId="Nadpis3Char">
    <w:name w:val="Nadpis 3 Char"/>
    <w:basedOn w:val="Standardnpsmoodstavce"/>
    <w:link w:val="Nadpis3"/>
    <w:uiPriority w:val="9"/>
    <w:rsid w:val="00144A25"/>
    <w:rPr>
      <w:rFonts w:eastAsiaTheme="majorEastAsia" w:cstheme="majorBidi"/>
      <w:b/>
      <w:bCs/>
      <w:color w:val="632423" w:themeColor="accent2" w:themeShade="80"/>
      <w:sz w:val="24"/>
      <w:szCs w:val="24"/>
    </w:rPr>
  </w:style>
  <w:style w:type="character" w:customStyle="1" w:styleId="Nadpis4Char">
    <w:name w:val="Nadpis 4 Char"/>
    <w:basedOn w:val="Standardnpsmoodstavce"/>
    <w:link w:val="Nadpis4"/>
    <w:uiPriority w:val="9"/>
    <w:rsid w:val="00144A25"/>
    <w:rPr>
      <w:rFonts w:eastAsiaTheme="majorEastAsia" w:cstheme="majorBidi"/>
      <w:b/>
      <w:bCs/>
      <w:i/>
      <w:iCs/>
      <w:color w:val="632423" w:themeColor="accent2" w:themeShade="80"/>
    </w:rPr>
  </w:style>
  <w:style w:type="character" w:customStyle="1" w:styleId="Nadpis5Char">
    <w:name w:val="Nadpis 5 Char"/>
    <w:basedOn w:val="Standardnpsmoodstavce"/>
    <w:link w:val="Nadpis5"/>
    <w:uiPriority w:val="9"/>
    <w:rsid w:val="00144A25"/>
    <w:rPr>
      <w:rFonts w:asciiTheme="majorHAnsi" w:eastAsiaTheme="majorEastAsia" w:hAnsiTheme="majorHAnsi" w:cstheme="majorBidi"/>
      <w:color w:val="243F60" w:themeColor="accent1" w:themeShade="7F"/>
    </w:rPr>
  </w:style>
  <w:style w:type="paragraph" w:styleId="Odstavecseseznamem">
    <w:name w:val="List Paragraph"/>
    <w:aliases w:val="Odstavec_muj,Odstavec cíl se seznamem,Odstavec se seznamem1,Nad,List Paragraph,Odstavec se seznamem5,Odrážky"/>
    <w:basedOn w:val="Normln"/>
    <w:link w:val="OdstavecseseznamemChar"/>
    <w:uiPriority w:val="34"/>
    <w:qFormat/>
    <w:rsid w:val="00144A25"/>
    <w:pPr>
      <w:ind w:left="720"/>
      <w:contextualSpacing/>
    </w:pPr>
  </w:style>
  <w:style w:type="paragraph" w:styleId="Textbubliny">
    <w:name w:val="Balloon Text"/>
    <w:basedOn w:val="Normln"/>
    <w:link w:val="TextbublinyChar"/>
    <w:uiPriority w:val="99"/>
    <w:semiHidden/>
    <w:unhideWhenUsed/>
    <w:rsid w:val="00144A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4A25"/>
    <w:rPr>
      <w:rFonts w:ascii="Tahoma" w:hAnsi="Tahoma" w:cs="Tahoma"/>
      <w:sz w:val="16"/>
      <w:szCs w:val="16"/>
    </w:rPr>
  </w:style>
  <w:style w:type="paragraph" w:styleId="Datum">
    <w:name w:val="Date"/>
    <w:basedOn w:val="Normln"/>
    <w:next w:val="Normln"/>
    <w:link w:val="DatumChar"/>
    <w:uiPriority w:val="99"/>
    <w:semiHidden/>
    <w:unhideWhenUsed/>
    <w:rsid w:val="00144A25"/>
  </w:style>
  <w:style w:type="character" w:customStyle="1" w:styleId="DatumChar">
    <w:name w:val="Datum Char"/>
    <w:basedOn w:val="Standardnpsmoodstavce"/>
    <w:link w:val="Datum"/>
    <w:uiPriority w:val="99"/>
    <w:semiHidden/>
    <w:rsid w:val="00144A25"/>
  </w:style>
  <w:style w:type="paragraph" w:styleId="Zhlav">
    <w:name w:val="header"/>
    <w:basedOn w:val="Normln"/>
    <w:link w:val="ZhlavChar"/>
    <w:uiPriority w:val="99"/>
    <w:unhideWhenUsed/>
    <w:rsid w:val="00144A2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144A25"/>
  </w:style>
  <w:style w:type="paragraph" w:styleId="Zpat">
    <w:name w:val="footer"/>
    <w:basedOn w:val="Normln"/>
    <w:link w:val="ZpatChar"/>
    <w:uiPriority w:val="99"/>
    <w:unhideWhenUsed/>
    <w:rsid w:val="00144A25"/>
    <w:pPr>
      <w:tabs>
        <w:tab w:val="center" w:pos="4513"/>
        <w:tab w:val="right" w:pos="9026"/>
      </w:tabs>
      <w:spacing w:after="0" w:line="240" w:lineRule="auto"/>
    </w:pPr>
  </w:style>
  <w:style w:type="character" w:customStyle="1" w:styleId="ZpatChar">
    <w:name w:val="Zápatí Char"/>
    <w:basedOn w:val="Standardnpsmoodstavce"/>
    <w:link w:val="Zpat"/>
    <w:uiPriority w:val="99"/>
    <w:rsid w:val="00144A25"/>
  </w:style>
  <w:style w:type="paragraph" w:styleId="Rozloendokumentu">
    <w:name w:val="Document Map"/>
    <w:basedOn w:val="Normln"/>
    <w:link w:val="RozloendokumentuChar"/>
    <w:uiPriority w:val="99"/>
    <w:semiHidden/>
    <w:unhideWhenUsed/>
    <w:rsid w:val="00144A25"/>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44A25"/>
    <w:rPr>
      <w:rFonts w:ascii="Tahoma" w:hAnsi="Tahoma" w:cs="Tahoma"/>
      <w:sz w:val="16"/>
      <w:szCs w:val="16"/>
    </w:rPr>
  </w:style>
  <w:style w:type="paragraph" w:styleId="Bezmezer">
    <w:name w:val="No Spacing"/>
    <w:uiPriority w:val="1"/>
    <w:qFormat/>
    <w:rsid w:val="00144A25"/>
    <w:pPr>
      <w:spacing w:after="0" w:line="240" w:lineRule="auto"/>
    </w:pPr>
  </w:style>
  <w:style w:type="character" w:customStyle="1" w:styleId="apple-converted-space">
    <w:name w:val="apple-converted-space"/>
    <w:basedOn w:val="Standardnpsmoodstavce"/>
    <w:rsid w:val="00144A25"/>
  </w:style>
  <w:style w:type="character" w:styleId="Zvraznn">
    <w:name w:val="Emphasis"/>
    <w:basedOn w:val="Standardnpsmoodstavce"/>
    <w:uiPriority w:val="20"/>
    <w:qFormat/>
    <w:rsid w:val="00144A25"/>
    <w:rPr>
      <w:i/>
      <w:iCs/>
    </w:rPr>
  </w:style>
  <w:style w:type="character" w:styleId="Hypertextovodkaz">
    <w:name w:val="Hyperlink"/>
    <w:basedOn w:val="Standardnpsmoodstavce"/>
    <w:uiPriority w:val="99"/>
    <w:unhideWhenUsed/>
    <w:rsid w:val="00144A25"/>
    <w:rPr>
      <w:color w:val="0000FF"/>
      <w:u w:val="single"/>
    </w:rPr>
  </w:style>
  <w:style w:type="table" w:styleId="Mkatabulky">
    <w:name w:val="Table Grid"/>
    <w:basedOn w:val="Normlntabulka"/>
    <w:rsid w:val="0014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44A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144A2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144A25"/>
    <w:rPr>
      <w:rFonts w:ascii="Calibri" w:hAnsi="Calibri"/>
      <w:szCs w:val="21"/>
    </w:rPr>
  </w:style>
  <w:style w:type="character" w:customStyle="1" w:styleId="ircpt">
    <w:name w:val="irc_pt"/>
    <w:basedOn w:val="Standardnpsmoodstavce"/>
    <w:rsid w:val="00144A25"/>
  </w:style>
  <w:style w:type="character" w:customStyle="1" w:styleId="ircho">
    <w:name w:val="irc_ho"/>
    <w:basedOn w:val="Standardnpsmoodstavce"/>
    <w:rsid w:val="00144A25"/>
  </w:style>
  <w:style w:type="character" w:customStyle="1" w:styleId="OdstavecseseznamemChar">
    <w:name w:val="Odstavec se seznamem Char"/>
    <w:aliases w:val="Odstavec_muj Char,Odstavec cíl se seznamem Char,Odstavec se seznamem1 Char,Nad Char,List Paragraph Char,Odstavec se seznamem5 Char,Odrážky Char"/>
    <w:basedOn w:val="Standardnpsmoodstavce"/>
    <w:link w:val="Odstavecseseznamem"/>
    <w:uiPriority w:val="34"/>
    <w:rsid w:val="00144A25"/>
  </w:style>
  <w:style w:type="paragraph" w:customStyle="1" w:styleId="Default">
    <w:name w:val="Default"/>
    <w:rsid w:val="00144A25"/>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144A25"/>
    <w:p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144A25"/>
    <w:pPr>
      <w:spacing w:after="100"/>
    </w:pPr>
  </w:style>
  <w:style w:type="paragraph" w:styleId="Obsah2">
    <w:name w:val="toc 2"/>
    <w:basedOn w:val="Normln"/>
    <w:next w:val="Normln"/>
    <w:autoRedefine/>
    <w:uiPriority w:val="39"/>
    <w:unhideWhenUsed/>
    <w:rsid w:val="00144A25"/>
    <w:pPr>
      <w:spacing w:after="100"/>
      <w:ind w:left="220"/>
    </w:pPr>
  </w:style>
  <w:style w:type="paragraph" w:styleId="Obsah3">
    <w:name w:val="toc 3"/>
    <w:basedOn w:val="Normln"/>
    <w:next w:val="Normln"/>
    <w:autoRedefine/>
    <w:uiPriority w:val="39"/>
    <w:unhideWhenUsed/>
    <w:rsid w:val="00144A25"/>
    <w:pPr>
      <w:spacing w:after="100"/>
      <w:ind w:left="440"/>
    </w:pPr>
  </w:style>
  <w:style w:type="paragraph" w:styleId="Zkladntext2">
    <w:name w:val="Body Text 2"/>
    <w:basedOn w:val="Normln"/>
    <w:link w:val="Zkladntext2Char"/>
    <w:rsid w:val="00144A25"/>
    <w:pPr>
      <w:autoSpaceDE w:val="0"/>
      <w:autoSpaceDN w:val="0"/>
      <w:spacing w:after="0" w:line="240" w:lineRule="auto"/>
      <w:jc w:val="both"/>
    </w:pPr>
    <w:rPr>
      <w:rFonts w:ascii="Times New Roman" w:eastAsia="Times New Roman" w:hAnsi="Times New Roman" w:cs="Times New Roman"/>
      <w:b/>
      <w:bCs/>
      <w:sz w:val="24"/>
      <w:szCs w:val="36"/>
      <w:lang w:eastAsia="cs-CZ"/>
    </w:rPr>
  </w:style>
  <w:style w:type="character" w:customStyle="1" w:styleId="Zkladntext2Char">
    <w:name w:val="Základní text 2 Char"/>
    <w:basedOn w:val="Standardnpsmoodstavce"/>
    <w:link w:val="Zkladntext2"/>
    <w:rsid w:val="00144A25"/>
    <w:rPr>
      <w:rFonts w:ascii="Times New Roman" w:eastAsia="Times New Roman" w:hAnsi="Times New Roman" w:cs="Times New Roman"/>
      <w:b/>
      <w:bCs/>
      <w:sz w:val="24"/>
      <w:szCs w:val="36"/>
      <w:lang w:eastAsia="cs-CZ"/>
    </w:rPr>
  </w:style>
  <w:style w:type="paragraph" w:styleId="Zkladntextodsazen">
    <w:name w:val="Body Text Indent"/>
    <w:basedOn w:val="Normln"/>
    <w:link w:val="ZkladntextodsazenChar"/>
    <w:uiPriority w:val="99"/>
    <w:semiHidden/>
    <w:unhideWhenUsed/>
    <w:rsid w:val="00144A25"/>
    <w:pPr>
      <w:spacing w:after="120"/>
      <w:ind w:left="283"/>
    </w:pPr>
  </w:style>
  <w:style w:type="character" w:customStyle="1" w:styleId="ZkladntextodsazenChar">
    <w:name w:val="Základní text odsazený Char"/>
    <w:basedOn w:val="Standardnpsmoodstavce"/>
    <w:link w:val="Zkladntextodsazen"/>
    <w:uiPriority w:val="99"/>
    <w:semiHidden/>
    <w:rsid w:val="00144A25"/>
  </w:style>
  <w:style w:type="numbering" w:customStyle="1" w:styleId="WWNum2">
    <w:name w:val="WWNum2"/>
    <w:rsid w:val="00144A25"/>
    <w:pPr>
      <w:numPr>
        <w:numId w:val="1"/>
      </w:numPr>
    </w:pPr>
  </w:style>
  <w:style w:type="character" w:customStyle="1" w:styleId="apple-style-span">
    <w:name w:val="apple-style-span"/>
    <w:basedOn w:val="Standardnpsmoodstavce"/>
    <w:uiPriority w:val="99"/>
    <w:rsid w:val="00144A25"/>
  </w:style>
  <w:style w:type="character" w:styleId="Sledovanodkaz">
    <w:name w:val="FollowedHyperlink"/>
    <w:basedOn w:val="Standardnpsmoodstavce"/>
    <w:uiPriority w:val="99"/>
    <w:semiHidden/>
    <w:unhideWhenUsed/>
    <w:rsid w:val="00144A25"/>
    <w:rPr>
      <w:color w:val="800080" w:themeColor="followedHyperlink"/>
      <w:u w:val="single"/>
    </w:rPr>
  </w:style>
  <w:style w:type="paragraph" w:styleId="Titulek">
    <w:name w:val="caption"/>
    <w:basedOn w:val="Normln"/>
    <w:next w:val="Normln"/>
    <w:uiPriority w:val="35"/>
    <w:unhideWhenUsed/>
    <w:qFormat/>
    <w:rsid w:val="00144A25"/>
    <w:pPr>
      <w:spacing w:line="240" w:lineRule="auto"/>
    </w:pPr>
    <w:rPr>
      <w:b/>
      <w:bCs/>
      <w:color w:val="4F81BD" w:themeColor="accent1"/>
      <w:sz w:val="18"/>
      <w:szCs w:val="18"/>
    </w:rPr>
  </w:style>
  <w:style w:type="paragraph" w:customStyle="1" w:styleId="Odrky1">
    <w:name w:val="Odrážky 1"/>
    <w:basedOn w:val="Normln"/>
    <w:link w:val="Odrky1Char"/>
    <w:qFormat/>
    <w:rsid w:val="00144A25"/>
    <w:pPr>
      <w:numPr>
        <w:numId w:val="2"/>
      </w:numPr>
      <w:spacing w:before="200" w:after="120"/>
      <w:jc w:val="both"/>
    </w:pPr>
    <w:rPr>
      <w:color w:val="000000" w:themeColor="text1"/>
    </w:rPr>
  </w:style>
  <w:style w:type="character" w:customStyle="1" w:styleId="Odrky1Char">
    <w:name w:val="Odrážky 1 Char"/>
    <w:basedOn w:val="Standardnpsmoodstavce"/>
    <w:link w:val="Odrky1"/>
    <w:rsid w:val="00144A25"/>
    <w:rPr>
      <w:color w:val="000000" w:themeColor="text1"/>
    </w:rPr>
  </w:style>
  <w:style w:type="paragraph" w:customStyle="1" w:styleId="Odrvtab2">
    <w:name w:val="Odr.v.tab.2"/>
    <w:basedOn w:val="Odstavecseseznamem"/>
    <w:qFormat/>
    <w:rsid w:val="00144A25"/>
    <w:pPr>
      <w:numPr>
        <w:numId w:val="3"/>
      </w:numPr>
      <w:spacing w:before="200" w:after="20"/>
      <w:jc w:val="both"/>
    </w:pPr>
    <w:rPr>
      <w:color w:val="000000" w:themeColor="text1"/>
      <w:sz w:val="20"/>
    </w:rPr>
  </w:style>
  <w:style w:type="table" w:customStyle="1" w:styleId="Svtlseznamzvraznn11">
    <w:name w:val="Světlý seznam – zvýraznění 11"/>
    <w:basedOn w:val="Normlntabulka"/>
    <w:uiPriority w:val="61"/>
    <w:rsid w:val="00144A25"/>
    <w:pPr>
      <w:spacing w:before="40" w:after="20"/>
    </w:p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bsah4">
    <w:name w:val="toc 4"/>
    <w:basedOn w:val="Normln"/>
    <w:next w:val="Normln"/>
    <w:autoRedefine/>
    <w:uiPriority w:val="39"/>
    <w:unhideWhenUsed/>
    <w:rsid w:val="00144A25"/>
    <w:pPr>
      <w:spacing w:after="100"/>
      <w:ind w:left="660"/>
    </w:pPr>
    <w:rPr>
      <w:rFonts w:eastAsiaTheme="minorEastAsia"/>
      <w:lang w:eastAsia="cs-CZ"/>
    </w:rPr>
  </w:style>
  <w:style w:type="paragraph" w:styleId="Obsah5">
    <w:name w:val="toc 5"/>
    <w:basedOn w:val="Normln"/>
    <w:next w:val="Normln"/>
    <w:autoRedefine/>
    <w:uiPriority w:val="39"/>
    <w:unhideWhenUsed/>
    <w:rsid w:val="00144A25"/>
    <w:pPr>
      <w:spacing w:after="100"/>
      <w:ind w:left="880"/>
    </w:pPr>
    <w:rPr>
      <w:rFonts w:eastAsiaTheme="minorEastAsia"/>
      <w:lang w:eastAsia="cs-CZ"/>
    </w:rPr>
  </w:style>
  <w:style w:type="paragraph" w:styleId="Obsah6">
    <w:name w:val="toc 6"/>
    <w:basedOn w:val="Normln"/>
    <w:next w:val="Normln"/>
    <w:autoRedefine/>
    <w:uiPriority w:val="39"/>
    <w:unhideWhenUsed/>
    <w:rsid w:val="00144A25"/>
    <w:pPr>
      <w:spacing w:after="100"/>
      <w:ind w:left="1100"/>
    </w:pPr>
    <w:rPr>
      <w:rFonts w:eastAsiaTheme="minorEastAsia"/>
      <w:lang w:eastAsia="cs-CZ"/>
    </w:rPr>
  </w:style>
  <w:style w:type="paragraph" w:styleId="Obsah7">
    <w:name w:val="toc 7"/>
    <w:basedOn w:val="Normln"/>
    <w:next w:val="Normln"/>
    <w:autoRedefine/>
    <w:uiPriority w:val="39"/>
    <w:unhideWhenUsed/>
    <w:rsid w:val="00144A25"/>
    <w:pPr>
      <w:spacing w:after="100"/>
      <w:ind w:left="1320"/>
    </w:pPr>
    <w:rPr>
      <w:rFonts w:eastAsiaTheme="minorEastAsia"/>
      <w:lang w:eastAsia="cs-CZ"/>
    </w:rPr>
  </w:style>
  <w:style w:type="paragraph" w:styleId="Obsah8">
    <w:name w:val="toc 8"/>
    <w:basedOn w:val="Normln"/>
    <w:next w:val="Normln"/>
    <w:autoRedefine/>
    <w:uiPriority w:val="39"/>
    <w:unhideWhenUsed/>
    <w:rsid w:val="00144A25"/>
    <w:pPr>
      <w:spacing w:after="100"/>
      <w:ind w:left="1540"/>
    </w:pPr>
    <w:rPr>
      <w:rFonts w:eastAsiaTheme="minorEastAsia"/>
      <w:lang w:eastAsia="cs-CZ"/>
    </w:rPr>
  </w:style>
  <w:style w:type="paragraph" w:styleId="Obsah9">
    <w:name w:val="toc 9"/>
    <w:basedOn w:val="Normln"/>
    <w:next w:val="Normln"/>
    <w:autoRedefine/>
    <w:uiPriority w:val="39"/>
    <w:unhideWhenUsed/>
    <w:rsid w:val="00144A25"/>
    <w:pPr>
      <w:spacing w:after="100"/>
      <w:ind w:left="1760"/>
    </w:pPr>
    <w:rPr>
      <w:rFonts w:eastAsiaTheme="minorEastAsia"/>
      <w:lang w:eastAsia="cs-CZ"/>
    </w:rPr>
  </w:style>
  <w:style w:type="character" w:styleId="Odkaznakoment">
    <w:name w:val="annotation reference"/>
    <w:basedOn w:val="Standardnpsmoodstavce"/>
    <w:uiPriority w:val="99"/>
    <w:semiHidden/>
    <w:unhideWhenUsed/>
    <w:rsid w:val="00144A25"/>
    <w:rPr>
      <w:sz w:val="16"/>
      <w:szCs w:val="16"/>
    </w:rPr>
  </w:style>
  <w:style w:type="paragraph" w:styleId="Textkomente">
    <w:name w:val="annotation text"/>
    <w:basedOn w:val="Normln"/>
    <w:link w:val="TextkomenteChar"/>
    <w:uiPriority w:val="99"/>
    <w:semiHidden/>
    <w:unhideWhenUsed/>
    <w:rsid w:val="00144A25"/>
    <w:pPr>
      <w:spacing w:line="240" w:lineRule="auto"/>
    </w:pPr>
    <w:rPr>
      <w:sz w:val="20"/>
      <w:szCs w:val="20"/>
    </w:rPr>
  </w:style>
  <w:style w:type="character" w:customStyle="1" w:styleId="TextkomenteChar">
    <w:name w:val="Text komentáře Char"/>
    <w:basedOn w:val="Standardnpsmoodstavce"/>
    <w:link w:val="Textkomente"/>
    <w:uiPriority w:val="99"/>
    <w:semiHidden/>
    <w:rsid w:val="00144A25"/>
    <w:rPr>
      <w:sz w:val="20"/>
      <w:szCs w:val="20"/>
    </w:rPr>
  </w:style>
  <w:style w:type="paragraph" w:styleId="Pedmtkomente">
    <w:name w:val="annotation subject"/>
    <w:basedOn w:val="Textkomente"/>
    <w:next w:val="Textkomente"/>
    <w:link w:val="PedmtkomenteChar"/>
    <w:uiPriority w:val="99"/>
    <w:semiHidden/>
    <w:unhideWhenUsed/>
    <w:rsid w:val="00144A25"/>
    <w:rPr>
      <w:b/>
      <w:bCs/>
    </w:rPr>
  </w:style>
  <w:style w:type="character" w:customStyle="1" w:styleId="PedmtkomenteChar">
    <w:name w:val="Předmět komentáře Char"/>
    <w:basedOn w:val="TextkomenteChar"/>
    <w:link w:val="Pedmtkomente"/>
    <w:uiPriority w:val="99"/>
    <w:semiHidden/>
    <w:rsid w:val="00144A25"/>
    <w:rPr>
      <w:b/>
      <w:bCs/>
      <w:sz w:val="20"/>
      <w:szCs w:val="20"/>
    </w:rPr>
  </w:style>
  <w:style w:type="paragraph" w:customStyle="1" w:styleId="font5">
    <w:name w:val="font5"/>
    <w:basedOn w:val="Normln"/>
    <w:rsid w:val="00144A25"/>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6">
    <w:name w:val="font6"/>
    <w:basedOn w:val="Normln"/>
    <w:rsid w:val="00144A25"/>
    <w:pPr>
      <w:spacing w:before="100" w:beforeAutospacing="1" w:after="100" w:afterAutospacing="1" w:line="240" w:lineRule="auto"/>
    </w:pPr>
    <w:rPr>
      <w:rFonts w:ascii="Calibri" w:eastAsia="Times New Roman" w:hAnsi="Calibri" w:cs="Times New Roman"/>
      <w:b/>
      <w:bCs/>
      <w:color w:val="000000"/>
      <w:lang w:eastAsia="cs-CZ"/>
    </w:rPr>
  </w:style>
  <w:style w:type="paragraph" w:customStyle="1" w:styleId="font7">
    <w:name w:val="font7"/>
    <w:basedOn w:val="Normln"/>
    <w:rsid w:val="00144A25"/>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8">
    <w:name w:val="font8"/>
    <w:basedOn w:val="Normln"/>
    <w:rsid w:val="00144A25"/>
    <w:pPr>
      <w:spacing w:before="100" w:beforeAutospacing="1" w:after="100" w:afterAutospacing="1" w:line="240" w:lineRule="auto"/>
    </w:pPr>
    <w:rPr>
      <w:rFonts w:ascii="Calibri" w:eastAsia="Times New Roman" w:hAnsi="Calibri" w:cs="Times New Roman"/>
      <w:i/>
      <w:iCs/>
      <w:color w:val="000000"/>
      <w:lang w:eastAsia="cs-CZ"/>
    </w:rPr>
  </w:style>
  <w:style w:type="paragraph" w:customStyle="1" w:styleId="font9">
    <w:name w:val="font9"/>
    <w:basedOn w:val="Normln"/>
    <w:rsid w:val="00144A25"/>
    <w:pPr>
      <w:spacing w:before="100" w:beforeAutospacing="1" w:after="100" w:afterAutospacing="1" w:line="240" w:lineRule="auto"/>
    </w:pPr>
    <w:rPr>
      <w:rFonts w:ascii="Calibri" w:eastAsia="Times New Roman" w:hAnsi="Calibri" w:cs="Times New Roman"/>
      <w:b/>
      <w:bCs/>
      <w:color w:val="000000"/>
      <w:lang w:eastAsia="cs-CZ"/>
    </w:rPr>
  </w:style>
  <w:style w:type="paragraph" w:customStyle="1" w:styleId="font10">
    <w:name w:val="font10"/>
    <w:basedOn w:val="Normln"/>
    <w:rsid w:val="00144A25"/>
    <w:pPr>
      <w:spacing w:before="100" w:beforeAutospacing="1" w:after="100" w:afterAutospacing="1" w:line="240" w:lineRule="auto"/>
    </w:pPr>
    <w:rPr>
      <w:rFonts w:ascii="Calibri" w:eastAsia="Times New Roman" w:hAnsi="Calibri" w:cs="Times New Roman"/>
      <w:color w:val="000000"/>
      <w:u w:val="single"/>
      <w:lang w:eastAsia="cs-CZ"/>
    </w:rPr>
  </w:style>
  <w:style w:type="paragraph" w:customStyle="1" w:styleId="font11">
    <w:name w:val="font11"/>
    <w:basedOn w:val="Normln"/>
    <w:rsid w:val="00144A25"/>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7">
    <w:name w:val="xl67"/>
    <w:basedOn w:val="Normln"/>
    <w:rsid w:val="00144A25"/>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144A2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0">
    <w:name w:val="xl70"/>
    <w:basedOn w:val="Normln"/>
    <w:rsid w:val="00144A2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1">
    <w:name w:val="xl71"/>
    <w:basedOn w:val="Normln"/>
    <w:rsid w:val="00144A25"/>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2">
    <w:name w:val="xl72"/>
    <w:basedOn w:val="Normln"/>
    <w:rsid w:val="00144A2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73">
    <w:name w:val="xl73"/>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4">
    <w:name w:val="xl74"/>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75">
    <w:name w:val="xl75"/>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76">
    <w:name w:val="xl76"/>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77">
    <w:name w:val="xl77"/>
    <w:basedOn w:val="Normln"/>
    <w:rsid w:val="00144A25"/>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8">
    <w:name w:val="xl78"/>
    <w:basedOn w:val="Normln"/>
    <w:rsid w:val="00144A2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79">
    <w:name w:val="xl79"/>
    <w:basedOn w:val="Normln"/>
    <w:rsid w:val="00144A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80">
    <w:name w:val="xl80"/>
    <w:basedOn w:val="Normln"/>
    <w:rsid w:val="00144A2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81">
    <w:name w:val="xl81"/>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82">
    <w:name w:val="xl82"/>
    <w:basedOn w:val="Normln"/>
    <w:rsid w:val="00144A25"/>
    <w:pPr>
      <w:spacing w:before="100" w:beforeAutospacing="1" w:after="100" w:afterAutospacing="1" w:line="240" w:lineRule="auto"/>
      <w:textAlignment w:val="center"/>
    </w:pPr>
    <w:rPr>
      <w:rFonts w:ascii="Times New Roman" w:eastAsia="Times New Roman" w:hAnsi="Times New Roman" w:cs="Times New Roman"/>
      <w:i/>
      <w:iCs/>
      <w:sz w:val="24"/>
      <w:szCs w:val="24"/>
      <w:lang w:eastAsia="cs-CZ"/>
    </w:rPr>
  </w:style>
  <w:style w:type="paragraph" w:customStyle="1" w:styleId="xl83">
    <w:name w:val="xl83"/>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84">
    <w:name w:val="xl84"/>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85">
    <w:name w:val="xl85"/>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86">
    <w:name w:val="xl86"/>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7">
    <w:name w:val="xl87"/>
    <w:basedOn w:val="Normln"/>
    <w:rsid w:val="00144A2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8">
    <w:name w:val="xl88"/>
    <w:basedOn w:val="Normln"/>
    <w:rsid w:val="00144A2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365F91"/>
      <w:sz w:val="24"/>
      <w:szCs w:val="24"/>
      <w:lang w:eastAsia="cs-CZ"/>
    </w:rPr>
  </w:style>
  <w:style w:type="paragraph" w:customStyle="1" w:styleId="xl90">
    <w:name w:val="xl90"/>
    <w:basedOn w:val="Normln"/>
    <w:rsid w:val="00144A2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1">
    <w:name w:val="xl91"/>
    <w:basedOn w:val="Normln"/>
    <w:rsid w:val="00144A2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92">
    <w:name w:val="xl92"/>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93">
    <w:name w:val="xl93"/>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4">
    <w:name w:val="xl94"/>
    <w:basedOn w:val="Normln"/>
    <w:rsid w:val="00144A2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5">
    <w:name w:val="xl95"/>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6">
    <w:name w:val="xl96"/>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144A2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98">
    <w:name w:val="xl98"/>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0">
    <w:name w:val="xl100"/>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01">
    <w:name w:val="xl101"/>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02">
    <w:name w:val="xl102"/>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3">
    <w:name w:val="xl103"/>
    <w:basedOn w:val="Normln"/>
    <w:rsid w:val="00144A2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4">
    <w:name w:val="xl104"/>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5">
    <w:name w:val="xl105"/>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6">
    <w:name w:val="xl106"/>
    <w:basedOn w:val="Normln"/>
    <w:rsid w:val="00144A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07">
    <w:name w:val="xl107"/>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08">
    <w:name w:val="xl108"/>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9">
    <w:name w:val="xl109"/>
    <w:basedOn w:val="Normln"/>
    <w:rsid w:val="00144A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10">
    <w:name w:val="xl110"/>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1">
    <w:name w:val="xl111"/>
    <w:basedOn w:val="Normln"/>
    <w:rsid w:val="00144A2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12">
    <w:name w:val="xl112"/>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cs-CZ"/>
    </w:rPr>
  </w:style>
  <w:style w:type="paragraph" w:customStyle="1" w:styleId="xl113">
    <w:name w:val="xl113"/>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14">
    <w:name w:val="xl114"/>
    <w:basedOn w:val="Normln"/>
    <w:rsid w:val="00144A25"/>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5">
    <w:name w:val="xl115"/>
    <w:basedOn w:val="Normln"/>
    <w:rsid w:val="00144A25"/>
    <w:pPr>
      <w:pBdr>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6">
    <w:name w:val="xl116"/>
    <w:basedOn w:val="Normln"/>
    <w:rsid w:val="00144A25"/>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7">
    <w:name w:val="xl117"/>
    <w:basedOn w:val="Normln"/>
    <w:rsid w:val="00144A25"/>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8">
    <w:name w:val="xl118"/>
    <w:basedOn w:val="Normln"/>
    <w:rsid w:val="00144A25"/>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9">
    <w:name w:val="xl119"/>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0">
    <w:name w:val="xl120"/>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1">
    <w:name w:val="xl121"/>
    <w:basedOn w:val="Normln"/>
    <w:rsid w:val="00144A2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2">
    <w:name w:val="xl122"/>
    <w:basedOn w:val="Normln"/>
    <w:rsid w:val="00144A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3">
    <w:name w:val="xl123"/>
    <w:basedOn w:val="Normln"/>
    <w:rsid w:val="00144A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4">
    <w:name w:val="xl124"/>
    <w:basedOn w:val="Normln"/>
    <w:rsid w:val="00144A2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65F91"/>
      <w:sz w:val="32"/>
      <w:szCs w:val="32"/>
      <w:lang w:eastAsia="cs-CZ"/>
    </w:rPr>
  </w:style>
  <w:style w:type="paragraph" w:customStyle="1" w:styleId="xl125">
    <w:name w:val="xl125"/>
    <w:basedOn w:val="Normln"/>
    <w:rsid w:val="00144A2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6">
    <w:name w:val="xl126"/>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27">
    <w:name w:val="xl127"/>
    <w:basedOn w:val="Normln"/>
    <w:rsid w:val="00144A2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8">
    <w:name w:val="xl128"/>
    <w:basedOn w:val="Normln"/>
    <w:rsid w:val="00144A25"/>
    <w:pPr>
      <w:spacing w:before="100" w:beforeAutospacing="1" w:after="100" w:afterAutospacing="1" w:line="240" w:lineRule="auto"/>
    </w:pPr>
    <w:rPr>
      <w:rFonts w:ascii="Times New Roman" w:eastAsia="Times New Roman" w:hAnsi="Times New Roman" w:cs="Times New Roman"/>
      <w:b/>
      <w:bCs/>
      <w:color w:val="365F91"/>
      <w:sz w:val="32"/>
      <w:szCs w:val="32"/>
      <w:lang w:eastAsia="cs-CZ"/>
    </w:rPr>
  </w:style>
  <w:style w:type="paragraph" w:styleId="Seznamobrzk">
    <w:name w:val="table of figures"/>
    <w:basedOn w:val="Normln"/>
    <w:next w:val="Normln"/>
    <w:uiPriority w:val="99"/>
    <w:unhideWhenUsed/>
    <w:rsid w:val="00144A25"/>
    <w:pPr>
      <w:spacing w:after="0"/>
    </w:pPr>
  </w:style>
  <w:style w:type="paragraph" w:customStyle="1" w:styleId="xl65">
    <w:name w:val="xl65"/>
    <w:basedOn w:val="Normln"/>
    <w:rsid w:val="00144A25"/>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6">
    <w:name w:val="xl66"/>
    <w:basedOn w:val="Normln"/>
    <w:rsid w:val="00144A25"/>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cs-CZ"/>
    </w:rPr>
  </w:style>
  <w:style w:type="character" w:styleId="slostrnky">
    <w:name w:val="page number"/>
    <w:basedOn w:val="Standardnpsmoodstavce"/>
    <w:rsid w:val="00144A25"/>
  </w:style>
  <w:style w:type="character" w:customStyle="1" w:styleId="datalabel">
    <w:name w:val="datalabel"/>
    <w:basedOn w:val="Standardnpsmoodstavce"/>
    <w:rsid w:val="00144A25"/>
  </w:style>
  <w:style w:type="paragraph" w:customStyle="1" w:styleId="default0">
    <w:name w:val="default"/>
    <w:basedOn w:val="Normln"/>
    <w:uiPriority w:val="99"/>
    <w:rsid w:val="00144A25"/>
    <w:pPr>
      <w:spacing w:after="0" w:line="240" w:lineRule="auto"/>
    </w:pPr>
    <w:rPr>
      <w:rFonts w:ascii="Times New Roman" w:eastAsia="Times New Roman" w:hAnsi="Times New Roman" w:cs="Times New Roman"/>
      <w:sz w:val="24"/>
      <w:szCs w:val="24"/>
      <w:lang w:eastAsia="cs-CZ"/>
    </w:rPr>
  </w:style>
  <w:style w:type="paragraph" w:customStyle="1" w:styleId="Budjovice-tabulka">
    <w:name w:val="Budějovice - tabulka"/>
    <w:basedOn w:val="Normln"/>
    <w:autoRedefine/>
    <w:rsid w:val="00144A25"/>
    <w:pPr>
      <w:spacing w:before="180" w:after="0" w:line="240" w:lineRule="auto"/>
    </w:pPr>
    <w:rPr>
      <w:rFonts w:eastAsia="Times New Roman" w:cstheme="minorHAnsi"/>
      <w:b/>
      <w:bCs/>
      <w:i/>
      <w:iCs/>
      <w:sz w:val="20"/>
      <w:szCs w:val="20"/>
      <w:lang w:eastAsia="cs-CZ"/>
    </w:rPr>
  </w:style>
  <w:style w:type="paragraph" w:customStyle="1" w:styleId="Budjovice-zdroj">
    <w:name w:val="Budějovice - zdroj"/>
    <w:basedOn w:val="Normln"/>
    <w:autoRedefine/>
    <w:rsid w:val="00144A25"/>
    <w:pPr>
      <w:spacing w:after="0" w:line="240" w:lineRule="auto"/>
      <w:jc w:val="both"/>
    </w:pPr>
    <w:rPr>
      <w:rFonts w:ascii="Tahoma" w:eastAsia="Times New Roman" w:hAnsi="Tahoma" w:cs="Tahoma"/>
      <w:i/>
      <w:sz w:val="14"/>
      <w:szCs w:val="1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A25"/>
  </w:style>
  <w:style w:type="paragraph" w:styleId="Nadpis1">
    <w:name w:val="heading 1"/>
    <w:basedOn w:val="Normln"/>
    <w:next w:val="Normln"/>
    <w:link w:val="Nadpis1Char"/>
    <w:uiPriority w:val="9"/>
    <w:qFormat/>
    <w:rsid w:val="00144A25"/>
    <w:pPr>
      <w:keepNext/>
      <w:keepLines/>
      <w:spacing w:before="480" w:after="0"/>
      <w:outlineLvl w:val="0"/>
    </w:pPr>
    <w:rPr>
      <w:rFonts w:eastAsiaTheme="majorEastAsia" w:cstheme="majorBidi"/>
      <w:b/>
      <w:bCs/>
      <w:color w:val="632423" w:themeColor="accent2" w:themeShade="80"/>
      <w:sz w:val="36"/>
      <w:szCs w:val="28"/>
    </w:rPr>
  </w:style>
  <w:style w:type="paragraph" w:styleId="Nadpis2">
    <w:name w:val="heading 2"/>
    <w:basedOn w:val="Normln"/>
    <w:next w:val="Normln"/>
    <w:link w:val="Nadpis2Char"/>
    <w:uiPriority w:val="9"/>
    <w:unhideWhenUsed/>
    <w:qFormat/>
    <w:rsid w:val="00144A25"/>
    <w:pPr>
      <w:keepNext/>
      <w:keepLines/>
      <w:spacing w:before="200" w:after="0" w:line="336" w:lineRule="auto"/>
      <w:ind w:left="360"/>
      <w:outlineLvl w:val="1"/>
    </w:pPr>
    <w:rPr>
      <w:rFonts w:eastAsiaTheme="majorEastAsia" w:cstheme="majorBidi"/>
      <w:b/>
      <w:bCs/>
      <w:color w:val="632423" w:themeColor="accent2" w:themeShade="80"/>
      <w:sz w:val="28"/>
      <w:szCs w:val="26"/>
    </w:rPr>
  </w:style>
  <w:style w:type="paragraph" w:styleId="Nadpis3">
    <w:name w:val="heading 3"/>
    <w:basedOn w:val="Normln"/>
    <w:next w:val="Normln"/>
    <w:link w:val="Nadpis3Char"/>
    <w:autoRedefine/>
    <w:uiPriority w:val="9"/>
    <w:unhideWhenUsed/>
    <w:qFormat/>
    <w:rsid w:val="00144A25"/>
    <w:pPr>
      <w:keepNext/>
      <w:keepLines/>
      <w:spacing w:before="120" w:after="120" w:line="288" w:lineRule="auto"/>
      <w:ind w:left="1134" w:hanging="567"/>
      <w:outlineLvl w:val="2"/>
    </w:pPr>
    <w:rPr>
      <w:rFonts w:eastAsiaTheme="majorEastAsia" w:cstheme="majorBidi"/>
      <w:b/>
      <w:bCs/>
      <w:color w:val="632423" w:themeColor="accent2" w:themeShade="80"/>
      <w:sz w:val="24"/>
      <w:szCs w:val="24"/>
    </w:rPr>
  </w:style>
  <w:style w:type="paragraph" w:styleId="Nadpis4">
    <w:name w:val="heading 4"/>
    <w:basedOn w:val="Normln"/>
    <w:next w:val="Normln"/>
    <w:link w:val="Nadpis4Char"/>
    <w:uiPriority w:val="9"/>
    <w:unhideWhenUsed/>
    <w:qFormat/>
    <w:rsid w:val="00144A25"/>
    <w:pPr>
      <w:keepNext/>
      <w:keepLines/>
      <w:spacing w:before="200" w:after="0"/>
      <w:outlineLvl w:val="3"/>
    </w:pPr>
    <w:rPr>
      <w:rFonts w:eastAsiaTheme="majorEastAsia" w:cstheme="majorBidi"/>
      <w:b/>
      <w:bCs/>
      <w:i/>
      <w:iCs/>
      <w:color w:val="632423" w:themeColor="accent2" w:themeShade="80"/>
    </w:rPr>
  </w:style>
  <w:style w:type="paragraph" w:styleId="Nadpis5">
    <w:name w:val="heading 5"/>
    <w:basedOn w:val="Normln"/>
    <w:next w:val="Normln"/>
    <w:link w:val="Nadpis5Char"/>
    <w:uiPriority w:val="9"/>
    <w:unhideWhenUsed/>
    <w:qFormat/>
    <w:rsid w:val="00144A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4A25"/>
    <w:rPr>
      <w:rFonts w:eastAsiaTheme="majorEastAsia" w:cstheme="majorBidi"/>
      <w:b/>
      <w:bCs/>
      <w:color w:val="632423" w:themeColor="accent2" w:themeShade="80"/>
      <w:sz w:val="36"/>
      <w:szCs w:val="28"/>
    </w:rPr>
  </w:style>
  <w:style w:type="character" w:customStyle="1" w:styleId="Nadpis2Char">
    <w:name w:val="Nadpis 2 Char"/>
    <w:basedOn w:val="Standardnpsmoodstavce"/>
    <w:link w:val="Nadpis2"/>
    <w:uiPriority w:val="9"/>
    <w:rsid w:val="00144A25"/>
    <w:rPr>
      <w:rFonts w:eastAsiaTheme="majorEastAsia" w:cstheme="majorBidi"/>
      <w:b/>
      <w:bCs/>
      <w:color w:val="632423" w:themeColor="accent2" w:themeShade="80"/>
      <w:sz w:val="28"/>
      <w:szCs w:val="26"/>
    </w:rPr>
  </w:style>
  <w:style w:type="character" w:customStyle="1" w:styleId="Nadpis3Char">
    <w:name w:val="Nadpis 3 Char"/>
    <w:basedOn w:val="Standardnpsmoodstavce"/>
    <w:link w:val="Nadpis3"/>
    <w:uiPriority w:val="9"/>
    <w:rsid w:val="00144A25"/>
    <w:rPr>
      <w:rFonts w:eastAsiaTheme="majorEastAsia" w:cstheme="majorBidi"/>
      <w:b/>
      <w:bCs/>
      <w:color w:val="632423" w:themeColor="accent2" w:themeShade="80"/>
      <w:sz w:val="24"/>
      <w:szCs w:val="24"/>
    </w:rPr>
  </w:style>
  <w:style w:type="character" w:customStyle="1" w:styleId="Nadpis4Char">
    <w:name w:val="Nadpis 4 Char"/>
    <w:basedOn w:val="Standardnpsmoodstavce"/>
    <w:link w:val="Nadpis4"/>
    <w:uiPriority w:val="9"/>
    <w:rsid w:val="00144A25"/>
    <w:rPr>
      <w:rFonts w:eastAsiaTheme="majorEastAsia" w:cstheme="majorBidi"/>
      <w:b/>
      <w:bCs/>
      <w:i/>
      <w:iCs/>
      <w:color w:val="632423" w:themeColor="accent2" w:themeShade="80"/>
    </w:rPr>
  </w:style>
  <w:style w:type="character" w:customStyle="1" w:styleId="Nadpis5Char">
    <w:name w:val="Nadpis 5 Char"/>
    <w:basedOn w:val="Standardnpsmoodstavce"/>
    <w:link w:val="Nadpis5"/>
    <w:uiPriority w:val="9"/>
    <w:rsid w:val="00144A25"/>
    <w:rPr>
      <w:rFonts w:asciiTheme="majorHAnsi" w:eastAsiaTheme="majorEastAsia" w:hAnsiTheme="majorHAnsi" w:cstheme="majorBidi"/>
      <w:color w:val="243F60" w:themeColor="accent1" w:themeShade="7F"/>
    </w:rPr>
  </w:style>
  <w:style w:type="paragraph" w:styleId="Odstavecseseznamem">
    <w:name w:val="List Paragraph"/>
    <w:aliases w:val="Odstavec_muj,Odstavec cíl se seznamem,Odstavec se seznamem1,Nad,List Paragraph,Odstavec se seznamem5,Odrážky"/>
    <w:basedOn w:val="Normln"/>
    <w:link w:val="OdstavecseseznamemChar"/>
    <w:uiPriority w:val="34"/>
    <w:qFormat/>
    <w:rsid w:val="00144A25"/>
    <w:pPr>
      <w:ind w:left="720"/>
      <w:contextualSpacing/>
    </w:pPr>
  </w:style>
  <w:style w:type="paragraph" w:styleId="Textbubliny">
    <w:name w:val="Balloon Text"/>
    <w:basedOn w:val="Normln"/>
    <w:link w:val="TextbublinyChar"/>
    <w:uiPriority w:val="99"/>
    <w:semiHidden/>
    <w:unhideWhenUsed/>
    <w:rsid w:val="00144A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4A25"/>
    <w:rPr>
      <w:rFonts w:ascii="Tahoma" w:hAnsi="Tahoma" w:cs="Tahoma"/>
      <w:sz w:val="16"/>
      <w:szCs w:val="16"/>
    </w:rPr>
  </w:style>
  <w:style w:type="paragraph" w:styleId="Datum">
    <w:name w:val="Date"/>
    <w:basedOn w:val="Normln"/>
    <w:next w:val="Normln"/>
    <w:link w:val="DatumChar"/>
    <w:uiPriority w:val="99"/>
    <w:semiHidden/>
    <w:unhideWhenUsed/>
    <w:rsid w:val="00144A25"/>
  </w:style>
  <w:style w:type="character" w:customStyle="1" w:styleId="DatumChar">
    <w:name w:val="Datum Char"/>
    <w:basedOn w:val="Standardnpsmoodstavce"/>
    <w:link w:val="Datum"/>
    <w:uiPriority w:val="99"/>
    <w:semiHidden/>
    <w:rsid w:val="00144A25"/>
  </w:style>
  <w:style w:type="paragraph" w:styleId="Zhlav">
    <w:name w:val="header"/>
    <w:basedOn w:val="Normln"/>
    <w:link w:val="ZhlavChar"/>
    <w:uiPriority w:val="99"/>
    <w:unhideWhenUsed/>
    <w:rsid w:val="00144A2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144A25"/>
  </w:style>
  <w:style w:type="paragraph" w:styleId="Zpat">
    <w:name w:val="footer"/>
    <w:basedOn w:val="Normln"/>
    <w:link w:val="ZpatChar"/>
    <w:uiPriority w:val="99"/>
    <w:unhideWhenUsed/>
    <w:rsid w:val="00144A25"/>
    <w:pPr>
      <w:tabs>
        <w:tab w:val="center" w:pos="4513"/>
        <w:tab w:val="right" w:pos="9026"/>
      </w:tabs>
      <w:spacing w:after="0" w:line="240" w:lineRule="auto"/>
    </w:pPr>
  </w:style>
  <w:style w:type="character" w:customStyle="1" w:styleId="ZpatChar">
    <w:name w:val="Zápatí Char"/>
    <w:basedOn w:val="Standardnpsmoodstavce"/>
    <w:link w:val="Zpat"/>
    <w:uiPriority w:val="99"/>
    <w:rsid w:val="00144A25"/>
  </w:style>
  <w:style w:type="paragraph" w:styleId="Rozloendokumentu">
    <w:name w:val="Document Map"/>
    <w:basedOn w:val="Normln"/>
    <w:link w:val="RozloendokumentuChar"/>
    <w:uiPriority w:val="99"/>
    <w:semiHidden/>
    <w:unhideWhenUsed/>
    <w:rsid w:val="00144A25"/>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44A25"/>
    <w:rPr>
      <w:rFonts w:ascii="Tahoma" w:hAnsi="Tahoma" w:cs="Tahoma"/>
      <w:sz w:val="16"/>
      <w:szCs w:val="16"/>
    </w:rPr>
  </w:style>
  <w:style w:type="paragraph" w:styleId="Bezmezer">
    <w:name w:val="No Spacing"/>
    <w:uiPriority w:val="1"/>
    <w:qFormat/>
    <w:rsid w:val="00144A25"/>
    <w:pPr>
      <w:spacing w:after="0" w:line="240" w:lineRule="auto"/>
    </w:pPr>
  </w:style>
  <w:style w:type="character" w:customStyle="1" w:styleId="apple-converted-space">
    <w:name w:val="apple-converted-space"/>
    <w:basedOn w:val="Standardnpsmoodstavce"/>
    <w:rsid w:val="00144A25"/>
  </w:style>
  <w:style w:type="character" w:styleId="Zvraznn">
    <w:name w:val="Emphasis"/>
    <w:basedOn w:val="Standardnpsmoodstavce"/>
    <w:uiPriority w:val="20"/>
    <w:qFormat/>
    <w:rsid w:val="00144A25"/>
    <w:rPr>
      <w:i/>
      <w:iCs/>
    </w:rPr>
  </w:style>
  <w:style w:type="character" w:styleId="Hypertextovodkaz">
    <w:name w:val="Hyperlink"/>
    <w:basedOn w:val="Standardnpsmoodstavce"/>
    <w:uiPriority w:val="99"/>
    <w:unhideWhenUsed/>
    <w:rsid w:val="00144A25"/>
    <w:rPr>
      <w:color w:val="0000FF"/>
      <w:u w:val="single"/>
    </w:rPr>
  </w:style>
  <w:style w:type="table" w:styleId="Mkatabulky">
    <w:name w:val="Table Grid"/>
    <w:basedOn w:val="Normlntabulka"/>
    <w:rsid w:val="0014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44A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144A2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144A25"/>
    <w:rPr>
      <w:rFonts w:ascii="Calibri" w:hAnsi="Calibri"/>
      <w:szCs w:val="21"/>
    </w:rPr>
  </w:style>
  <w:style w:type="character" w:customStyle="1" w:styleId="ircpt">
    <w:name w:val="irc_pt"/>
    <w:basedOn w:val="Standardnpsmoodstavce"/>
    <w:rsid w:val="00144A25"/>
  </w:style>
  <w:style w:type="character" w:customStyle="1" w:styleId="ircho">
    <w:name w:val="irc_ho"/>
    <w:basedOn w:val="Standardnpsmoodstavce"/>
    <w:rsid w:val="00144A25"/>
  </w:style>
  <w:style w:type="character" w:customStyle="1" w:styleId="OdstavecseseznamemChar">
    <w:name w:val="Odstavec se seznamem Char"/>
    <w:aliases w:val="Odstavec_muj Char,Odstavec cíl se seznamem Char,Odstavec se seznamem1 Char,Nad Char,List Paragraph Char,Odstavec se seznamem5 Char,Odrážky Char"/>
    <w:basedOn w:val="Standardnpsmoodstavce"/>
    <w:link w:val="Odstavecseseznamem"/>
    <w:uiPriority w:val="34"/>
    <w:rsid w:val="00144A25"/>
  </w:style>
  <w:style w:type="paragraph" w:customStyle="1" w:styleId="Default">
    <w:name w:val="Default"/>
    <w:rsid w:val="00144A25"/>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144A25"/>
    <w:pPr>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144A25"/>
    <w:pPr>
      <w:spacing w:after="100"/>
    </w:pPr>
  </w:style>
  <w:style w:type="paragraph" w:styleId="Obsah2">
    <w:name w:val="toc 2"/>
    <w:basedOn w:val="Normln"/>
    <w:next w:val="Normln"/>
    <w:autoRedefine/>
    <w:uiPriority w:val="39"/>
    <w:unhideWhenUsed/>
    <w:rsid w:val="00144A25"/>
    <w:pPr>
      <w:spacing w:after="100"/>
      <w:ind w:left="220"/>
    </w:pPr>
  </w:style>
  <w:style w:type="paragraph" w:styleId="Obsah3">
    <w:name w:val="toc 3"/>
    <w:basedOn w:val="Normln"/>
    <w:next w:val="Normln"/>
    <w:autoRedefine/>
    <w:uiPriority w:val="39"/>
    <w:unhideWhenUsed/>
    <w:rsid w:val="00144A25"/>
    <w:pPr>
      <w:spacing w:after="100"/>
      <w:ind w:left="440"/>
    </w:pPr>
  </w:style>
  <w:style w:type="paragraph" w:styleId="Zkladntext2">
    <w:name w:val="Body Text 2"/>
    <w:basedOn w:val="Normln"/>
    <w:link w:val="Zkladntext2Char"/>
    <w:rsid w:val="00144A25"/>
    <w:pPr>
      <w:autoSpaceDE w:val="0"/>
      <w:autoSpaceDN w:val="0"/>
      <w:spacing w:after="0" w:line="240" w:lineRule="auto"/>
      <w:jc w:val="both"/>
    </w:pPr>
    <w:rPr>
      <w:rFonts w:ascii="Times New Roman" w:eastAsia="Times New Roman" w:hAnsi="Times New Roman" w:cs="Times New Roman"/>
      <w:b/>
      <w:bCs/>
      <w:sz w:val="24"/>
      <w:szCs w:val="36"/>
      <w:lang w:eastAsia="cs-CZ"/>
    </w:rPr>
  </w:style>
  <w:style w:type="character" w:customStyle="1" w:styleId="Zkladntext2Char">
    <w:name w:val="Základní text 2 Char"/>
    <w:basedOn w:val="Standardnpsmoodstavce"/>
    <w:link w:val="Zkladntext2"/>
    <w:rsid w:val="00144A25"/>
    <w:rPr>
      <w:rFonts w:ascii="Times New Roman" w:eastAsia="Times New Roman" w:hAnsi="Times New Roman" w:cs="Times New Roman"/>
      <w:b/>
      <w:bCs/>
      <w:sz w:val="24"/>
      <w:szCs w:val="36"/>
      <w:lang w:eastAsia="cs-CZ"/>
    </w:rPr>
  </w:style>
  <w:style w:type="paragraph" w:styleId="Zkladntextodsazen">
    <w:name w:val="Body Text Indent"/>
    <w:basedOn w:val="Normln"/>
    <w:link w:val="ZkladntextodsazenChar"/>
    <w:uiPriority w:val="99"/>
    <w:semiHidden/>
    <w:unhideWhenUsed/>
    <w:rsid w:val="00144A25"/>
    <w:pPr>
      <w:spacing w:after="120"/>
      <w:ind w:left="283"/>
    </w:pPr>
  </w:style>
  <w:style w:type="character" w:customStyle="1" w:styleId="ZkladntextodsazenChar">
    <w:name w:val="Základní text odsazený Char"/>
    <w:basedOn w:val="Standardnpsmoodstavce"/>
    <w:link w:val="Zkladntextodsazen"/>
    <w:uiPriority w:val="99"/>
    <w:semiHidden/>
    <w:rsid w:val="00144A25"/>
  </w:style>
  <w:style w:type="numbering" w:customStyle="1" w:styleId="WWNum2">
    <w:name w:val="WWNum2"/>
    <w:rsid w:val="00144A25"/>
    <w:pPr>
      <w:numPr>
        <w:numId w:val="1"/>
      </w:numPr>
    </w:pPr>
  </w:style>
  <w:style w:type="character" w:customStyle="1" w:styleId="apple-style-span">
    <w:name w:val="apple-style-span"/>
    <w:basedOn w:val="Standardnpsmoodstavce"/>
    <w:uiPriority w:val="99"/>
    <w:rsid w:val="00144A25"/>
  </w:style>
  <w:style w:type="character" w:styleId="Sledovanodkaz">
    <w:name w:val="FollowedHyperlink"/>
    <w:basedOn w:val="Standardnpsmoodstavce"/>
    <w:uiPriority w:val="99"/>
    <w:semiHidden/>
    <w:unhideWhenUsed/>
    <w:rsid w:val="00144A25"/>
    <w:rPr>
      <w:color w:val="800080" w:themeColor="followedHyperlink"/>
      <w:u w:val="single"/>
    </w:rPr>
  </w:style>
  <w:style w:type="paragraph" w:styleId="Titulek">
    <w:name w:val="caption"/>
    <w:basedOn w:val="Normln"/>
    <w:next w:val="Normln"/>
    <w:uiPriority w:val="35"/>
    <w:unhideWhenUsed/>
    <w:qFormat/>
    <w:rsid w:val="00144A25"/>
    <w:pPr>
      <w:spacing w:line="240" w:lineRule="auto"/>
    </w:pPr>
    <w:rPr>
      <w:b/>
      <w:bCs/>
      <w:color w:val="4F81BD" w:themeColor="accent1"/>
      <w:sz w:val="18"/>
      <w:szCs w:val="18"/>
    </w:rPr>
  </w:style>
  <w:style w:type="paragraph" w:customStyle="1" w:styleId="Odrky1">
    <w:name w:val="Odrážky 1"/>
    <w:basedOn w:val="Normln"/>
    <w:link w:val="Odrky1Char"/>
    <w:qFormat/>
    <w:rsid w:val="00144A25"/>
    <w:pPr>
      <w:numPr>
        <w:numId w:val="2"/>
      </w:numPr>
      <w:spacing w:before="200" w:after="120"/>
      <w:jc w:val="both"/>
    </w:pPr>
    <w:rPr>
      <w:color w:val="000000" w:themeColor="text1"/>
    </w:rPr>
  </w:style>
  <w:style w:type="character" w:customStyle="1" w:styleId="Odrky1Char">
    <w:name w:val="Odrážky 1 Char"/>
    <w:basedOn w:val="Standardnpsmoodstavce"/>
    <w:link w:val="Odrky1"/>
    <w:rsid w:val="00144A25"/>
    <w:rPr>
      <w:color w:val="000000" w:themeColor="text1"/>
    </w:rPr>
  </w:style>
  <w:style w:type="paragraph" w:customStyle="1" w:styleId="Odrvtab2">
    <w:name w:val="Odr.v.tab.2"/>
    <w:basedOn w:val="Odstavecseseznamem"/>
    <w:qFormat/>
    <w:rsid w:val="00144A25"/>
    <w:pPr>
      <w:numPr>
        <w:numId w:val="3"/>
      </w:numPr>
      <w:spacing w:before="200" w:after="20"/>
      <w:jc w:val="both"/>
    </w:pPr>
    <w:rPr>
      <w:color w:val="000000" w:themeColor="text1"/>
      <w:sz w:val="20"/>
    </w:rPr>
  </w:style>
  <w:style w:type="table" w:customStyle="1" w:styleId="Svtlseznamzvraznn11">
    <w:name w:val="Světlý seznam – zvýraznění 11"/>
    <w:basedOn w:val="Normlntabulka"/>
    <w:uiPriority w:val="61"/>
    <w:rsid w:val="00144A25"/>
    <w:pPr>
      <w:spacing w:before="40" w:after="20"/>
    </w:pPr>
    <w:tblPr>
      <w:tblStyleRowBandSize w:val="1"/>
      <w:tblStyleColBandSize w:val="1"/>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bsah4">
    <w:name w:val="toc 4"/>
    <w:basedOn w:val="Normln"/>
    <w:next w:val="Normln"/>
    <w:autoRedefine/>
    <w:uiPriority w:val="39"/>
    <w:unhideWhenUsed/>
    <w:rsid w:val="00144A25"/>
    <w:pPr>
      <w:spacing w:after="100"/>
      <w:ind w:left="660"/>
    </w:pPr>
    <w:rPr>
      <w:rFonts w:eastAsiaTheme="minorEastAsia"/>
      <w:lang w:eastAsia="cs-CZ"/>
    </w:rPr>
  </w:style>
  <w:style w:type="paragraph" w:styleId="Obsah5">
    <w:name w:val="toc 5"/>
    <w:basedOn w:val="Normln"/>
    <w:next w:val="Normln"/>
    <w:autoRedefine/>
    <w:uiPriority w:val="39"/>
    <w:unhideWhenUsed/>
    <w:rsid w:val="00144A25"/>
    <w:pPr>
      <w:spacing w:after="100"/>
      <w:ind w:left="880"/>
    </w:pPr>
    <w:rPr>
      <w:rFonts w:eastAsiaTheme="minorEastAsia"/>
      <w:lang w:eastAsia="cs-CZ"/>
    </w:rPr>
  </w:style>
  <w:style w:type="paragraph" w:styleId="Obsah6">
    <w:name w:val="toc 6"/>
    <w:basedOn w:val="Normln"/>
    <w:next w:val="Normln"/>
    <w:autoRedefine/>
    <w:uiPriority w:val="39"/>
    <w:unhideWhenUsed/>
    <w:rsid w:val="00144A25"/>
    <w:pPr>
      <w:spacing w:after="100"/>
      <w:ind w:left="1100"/>
    </w:pPr>
    <w:rPr>
      <w:rFonts w:eastAsiaTheme="minorEastAsia"/>
      <w:lang w:eastAsia="cs-CZ"/>
    </w:rPr>
  </w:style>
  <w:style w:type="paragraph" w:styleId="Obsah7">
    <w:name w:val="toc 7"/>
    <w:basedOn w:val="Normln"/>
    <w:next w:val="Normln"/>
    <w:autoRedefine/>
    <w:uiPriority w:val="39"/>
    <w:unhideWhenUsed/>
    <w:rsid w:val="00144A25"/>
    <w:pPr>
      <w:spacing w:after="100"/>
      <w:ind w:left="1320"/>
    </w:pPr>
    <w:rPr>
      <w:rFonts w:eastAsiaTheme="minorEastAsia"/>
      <w:lang w:eastAsia="cs-CZ"/>
    </w:rPr>
  </w:style>
  <w:style w:type="paragraph" w:styleId="Obsah8">
    <w:name w:val="toc 8"/>
    <w:basedOn w:val="Normln"/>
    <w:next w:val="Normln"/>
    <w:autoRedefine/>
    <w:uiPriority w:val="39"/>
    <w:unhideWhenUsed/>
    <w:rsid w:val="00144A25"/>
    <w:pPr>
      <w:spacing w:after="100"/>
      <w:ind w:left="1540"/>
    </w:pPr>
    <w:rPr>
      <w:rFonts w:eastAsiaTheme="minorEastAsia"/>
      <w:lang w:eastAsia="cs-CZ"/>
    </w:rPr>
  </w:style>
  <w:style w:type="paragraph" w:styleId="Obsah9">
    <w:name w:val="toc 9"/>
    <w:basedOn w:val="Normln"/>
    <w:next w:val="Normln"/>
    <w:autoRedefine/>
    <w:uiPriority w:val="39"/>
    <w:unhideWhenUsed/>
    <w:rsid w:val="00144A25"/>
    <w:pPr>
      <w:spacing w:after="100"/>
      <w:ind w:left="1760"/>
    </w:pPr>
    <w:rPr>
      <w:rFonts w:eastAsiaTheme="minorEastAsia"/>
      <w:lang w:eastAsia="cs-CZ"/>
    </w:rPr>
  </w:style>
  <w:style w:type="character" w:styleId="Odkaznakoment">
    <w:name w:val="annotation reference"/>
    <w:basedOn w:val="Standardnpsmoodstavce"/>
    <w:uiPriority w:val="99"/>
    <w:semiHidden/>
    <w:unhideWhenUsed/>
    <w:rsid w:val="00144A25"/>
    <w:rPr>
      <w:sz w:val="16"/>
      <w:szCs w:val="16"/>
    </w:rPr>
  </w:style>
  <w:style w:type="paragraph" w:styleId="Textkomente">
    <w:name w:val="annotation text"/>
    <w:basedOn w:val="Normln"/>
    <w:link w:val="TextkomenteChar"/>
    <w:uiPriority w:val="99"/>
    <w:semiHidden/>
    <w:unhideWhenUsed/>
    <w:rsid w:val="00144A25"/>
    <w:pPr>
      <w:spacing w:line="240" w:lineRule="auto"/>
    </w:pPr>
    <w:rPr>
      <w:sz w:val="20"/>
      <w:szCs w:val="20"/>
    </w:rPr>
  </w:style>
  <w:style w:type="character" w:customStyle="1" w:styleId="TextkomenteChar">
    <w:name w:val="Text komentáře Char"/>
    <w:basedOn w:val="Standardnpsmoodstavce"/>
    <w:link w:val="Textkomente"/>
    <w:uiPriority w:val="99"/>
    <w:semiHidden/>
    <w:rsid w:val="00144A25"/>
    <w:rPr>
      <w:sz w:val="20"/>
      <w:szCs w:val="20"/>
    </w:rPr>
  </w:style>
  <w:style w:type="paragraph" w:styleId="Pedmtkomente">
    <w:name w:val="annotation subject"/>
    <w:basedOn w:val="Textkomente"/>
    <w:next w:val="Textkomente"/>
    <w:link w:val="PedmtkomenteChar"/>
    <w:uiPriority w:val="99"/>
    <w:semiHidden/>
    <w:unhideWhenUsed/>
    <w:rsid w:val="00144A25"/>
    <w:rPr>
      <w:b/>
      <w:bCs/>
    </w:rPr>
  </w:style>
  <w:style w:type="character" w:customStyle="1" w:styleId="PedmtkomenteChar">
    <w:name w:val="Předmět komentáře Char"/>
    <w:basedOn w:val="TextkomenteChar"/>
    <w:link w:val="Pedmtkomente"/>
    <w:uiPriority w:val="99"/>
    <w:semiHidden/>
    <w:rsid w:val="00144A25"/>
    <w:rPr>
      <w:b/>
      <w:bCs/>
      <w:sz w:val="20"/>
      <w:szCs w:val="20"/>
    </w:rPr>
  </w:style>
  <w:style w:type="paragraph" w:customStyle="1" w:styleId="font5">
    <w:name w:val="font5"/>
    <w:basedOn w:val="Normln"/>
    <w:rsid w:val="00144A25"/>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6">
    <w:name w:val="font6"/>
    <w:basedOn w:val="Normln"/>
    <w:rsid w:val="00144A25"/>
    <w:pPr>
      <w:spacing w:before="100" w:beforeAutospacing="1" w:after="100" w:afterAutospacing="1" w:line="240" w:lineRule="auto"/>
    </w:pPr>
    <w:rPr>
      <w:rFonts w:ascii="Calibri" w:eastAsia="Times New Roman" w:hAnsi="Calibri" w:cs="Times New Roman"/>
      <w:b/>
      <w:bCs/>
      <w:color w:val="000000"/>
      <w:lang w:eastAsia="cs-CZ"/>
    </w:rPr>
  </w:style>
  <w:style w:type="paragraph" w:customStyle="1" w:styleId="font7">
    <w:name w:val="font7"/>
    <w:basedOn w:val="Normln"/>
    <w:rsid w:val="00144A25"/>
    <w:pPr>
      <w:spacing w:before="100" w:beforeAutospacing="1" w:after="100" w:afterAutospacing="1" w:line="240" w:lineRule="auto"/>
    </w:pPr>
    <w:rPr>
      <w:rFonts w:ascii="Calibri" w:eastAsia="Times New Roman" w:hAnsi="Calibri" w:cs="Times New Roman"/>
      <w:color w:val="000000"/>
      <w:lang w:eastAsia="cs-CZ"/>
    </w:rPr>
  </w:style>
  <w:style w:type="paragraph" w:customStyle="1" w:styleId="font8">
    <w:name w:val="font8"/>
    <w:basedOn w:val="Normln"/>
    <w:rsid w:val="00144A25"/>
    <w:pPr>
      <w:spacing w:before="100" w:beforeAutospacing="1" w:after="100" w:afterAutospacing="1" w:line="240" w:lineRule="auto"/>
    </w:pPr>
    <w:rPr>
      <w:rFonts w:ascii="Calibri" w:eastAsia="Times New Roman" w:hAnsi="Calibri" w:cs="Times New Roman"/>
      <w:i/>
      <w:iCs/>
      <w:color w:val="000000"/>
      <w:lang w:eastAsia="cs-CZ"/>
    </w:rPr>
  </w:style>
  <w:style w:type="paragraph" w:customStyle="1" w:styleId="font9">
    <w:name w:val="font9"/>
    <w:basedOn w:val="Normln"/>
    <w:rsid w:val="00144A25"/>
    <w:pPr>
      <w:spacing w:before="100" w:beforeAutospacing="1" w:after="100" w:afterAutospacing="1" w:line="240" w:lineRule="auto"/>
    </w:pPr>
    <w:rPr>
      <w:rFonts w:ascii="Calibri" w:eastAsia="Times New Roman" w:hAnsi="Calibri" w:cs="Times New Roman"/>
      <w:b/>
      <w:bCs/>
      <w:color w:val="000000"/>
      <w:lang w:eastAsia="cs-CZ"/>
    </w:rPr>
  </w:style>
  <w:style w:type="paragraph" w:customStyle="1" w:styleId="font10">
    <w:name w:val="font10"/>
    <w:basedOn w:val="Normln"/>
    <w:rsid w:val="00144A25"/>
    <w:pPr>
      <w:spacing w:before="100" w:beforeAutospacing="1" w:after="100" w:afterAutospacing="1" w:line="240" w:lineRule="auto"/>
    </w:pPr>
    <w:rPr>
      <w:rFonts w:ascii="Calibri" w:eastAsia="Times New Roman" w:hAnsi="Calibri" w:cs="Times New Roman"/>
      <w:color w:val="000000"/>
      <w:u w:val="single"/>
      <w:lang w:eastAsia="cs-CZ"/>
    </w:rPr>
  </w:style>
  <w:style w:type="paragraph" w:customStyle="1" w:styleId="font11">
    <w:name w:val="font11"/>
    <w:basedOn w:val="Normln"/>
    <w:rsid w:val="00144A25"/>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7">
    <w:name w:val="xl67"/>
    <w:basedOn w:val="Normln"/>
    <w:rsid w:val="00144A25"/>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69">
    <w:name w:val="xl69"/>
    <w:basedOn w:val="Normln"/>
    <w:rsid w:val="00144A2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0">
    <w:name w:val="xl70"/>
    <w:basedOn w:val="Normln"/>
    <w:rsid w:val="00144A2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1">
    <w:name w:val="xl71"/>
    <w:basedOn w:val="Normln"/>
    <w:rsid w:val="00144A25"/>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2">
    <w:name w:val="xl72"/>
    <w:basedOn w:val="Normln"/>
    <w:rsid w:val="00144A2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73">
    <w:name w:val="xl73"/>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74">
    <w:name w:val="xl74"/>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75">
    <w:name w:val="xl75"/>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76">
    <w:name w:val="xl76"/>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77">
    <w:name w:val="xl77"/>
    <w:basedOn w:val="Normln"/>
    <w:rsid w:val="00144A25"/>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8">
    <w:name w:val="xl78"/>
    <w:basedOn w:val="Normln"/>
    <w:rsid w:val="00144A2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79">
    <w:name w:val="xl79"/>
    <w:basedOn w:val="Normln"/>
    <w:rsid w:val="00144A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80">
    <w:name w:val="xl80"/>
    <w:basedOn w:val="Normln"/>
    <w:rsid w:val="00144A2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81">
    <w:name w:val="xl81"/>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82">
    <w:name w:val="xl82"/>
    <w:basedOn w:val="Normln"/>
    <w:rsid w:val="00144A25"/>
    <w:pPr>
      <w:spacing w:before="100" w:beforeAutospacing="1" w:after="100" w:afterAutospacing="1" w:line="240" w:lineRule="auto"/>
      <w:textAlignment w:val="center"/>
    </w:pPr>
    <w:rPr>
      <w:rFonts w:ascii="Times New Roman" w:eastAsia="Times New Roman" w:hAnsi="Times New Roman" w:cs="Times New Roman"/>
      <w:i/>
      <w:iCs/>
      <w:sz w:val="24"/>
      <w:szCs w:val="24"/>
      <w:lang w:eastAsia="cs-CZ"/>
    </w:rPr>
  </w:style>
  <w:style w:type="paragraph" w:customStyle="1" w:styleId="xl83">
    <w:name w:val="xl83"/>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84">
    <w:name w:val="xl84"/>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85">
    <w:name w:val="xl85"/>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cs-CZ"/>
    </w:rPr>
  </w:style>
  <w:style w:type="paragraph" w:customStyle="1" w:styleId="xl86">
    <w:name w:val="xl86"/>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7">
    <w:name w:val="xl87"/>
    <w:basedOn w:val="Normln"/>
    <w:rsid w:val="00144A2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8">
    <w:name w:val="xl88"/>
    <w:basedOn w:val="Normln"/>
    <w:rsid w:val="00144A2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9">
    <w:name w:val="xl89"/>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365F91"/>
      <w:sz w:val="24"/>
      <w:szCs w:val="24"/>
      <w:lang w:eastAsia="cs-CZ"/>
    </w:rPr>
  </w:style>
  <w:style w:type="paragraph" w:customStyle="1" w:styleId="xl90">
    <w:name w:val="xl90"/>
    <w:basedOn w:val="Normln"/>
    <w:rsid w:val="00144A2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1">
    <w:name w:val="xl91"/>
    <w:basedOn w:val="Normln"/>
    <w:rsid w:val="00144A2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92">
    <w:name w:val="xl92"/>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93">
    <w:name w:val="xl93"/>
    <w:basedOn w:val="Normln"/>
    <w:rsid w:val="00144A2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4">
    <w:name w:val="xl94"/>
    <w:basedOn w:val="Normln"/>
    <w:rsid w:val="00144A2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95">
    <w:name w:val="xl95"/>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6">
    <w:name w:val="xl96"/>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7">
    <w:name w:val="xl97"/>
    <w:basedOn w:val="Normln"/>
    <w:rsid w:val="00144A25"/>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98">
    <w:name w:val="xl98"/>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99">
    <w:name w:val="xl99"/>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0">
    <w:name w:val="xl100"/>
    <w:basedOn w:val="Normln"/>
    <w:rsid w:val="00144A25"/>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01">
    <w:name w:val="xl101"/>
    <w:basedOn w:val="Normln"/>
    <w:rsid w:val="00144A2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02">
    <w:name w:val="xl102"/>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3">
    <w:name w:val="xl103"/>
    <w:basedOn w:val="Normln"/>
    <w:rsid w:val="00144A2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4">
    <w:name w:val="xl104"/>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5">
    <w:name w:val="xl105"/>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06">
    <w:name w:val="xl106"/>
    <w:basedOn w:val="Normln"/>
    <w:rsid w:val="00144A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07">
    <w:name w:val="xl107"/>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08">
    <w:name w:val="xl108"/>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09">
    <w:name w:val="xl109"/>
    <w:basedOn w:val="Normln"/>
    <w:rsid w:val="00144A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10">
    <w:name w:val="xl110"/>
    <w:basedOn w:val="Normln"/>
    <w:rsid w:val="00144A25"/>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11">
    <w:name w:val="xl111"/>
    <w:basedOn w:val="Normln"/>
    <w:rsid w:val="00144A2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cs-CZ"/>
    </w:rPr>
  </w:style>
  <w:style w:type="paragraph" w:customStyle="1" w:styleId="xl112">
    <w:name w:val="xl112"/>
    <w:basedOn w:val="Normln"/>
    <w:rsid w:val="00144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cs-CZ"/>
    </w:rPr>
  </w:style>
  <w:style w:type="paragraph" w:customStyle="1" w:styleId="xl113">
    <w:name w:val="xl113"/>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14">
    <w:name w:val="xl114"/>
    <w:basedOn w:val="Normln"/>
    <w:rsid w:val="00144A25"/>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5">
    <w:name w:val="xl115"/>
    <w:basedOn w:val="Normln"/>
    <w:rsid w:val="00144A25"/>
    <w:pPr>
      <w:pBdr>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6">
    <w:name w:val="xl116"/>
    <w:basedOn w:val="Normln"/>
    <w:rsid w:val="00144A25"/>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7">
    <w:name w:val="xl117"/>
    <w:basedOn w:val="Normln"/>
    <w:rsid w:val="00144A25"/>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8">
    <w:name w:val="xl118"/>
    <w:basedOn w:val="Normln"/>
    <w:rsid w:val="00144A25"/>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19">
    <w:name w:val="xl119"/>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0">
    <w:name w:val="xl120"/>
    <w:basedOn w:val="Normln"/>
    <w:rsid w:val="00144A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1">
    <w:name w:val="xl121"/>
    <w:basedOn w:val="Normln"/>
    <w:rsid w:val="00144A2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2">
    <w:name w:val="xl122"/>
    <w:basedOn w:val="Normln"/>
    <w:rsid w:val="00144A2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3">
    <w:name w:val="xl123"/>
    <w:basedOn w:val="Normln"/>
    <w:rsid w:val="00144A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4">
    <w:name w:val="xl124"/>
    <w:basedOn w:val="Normln"/>
    <w:rsid w:val="00144A2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65F91"/>
      <w:sz w:val="32"/>
      <w:szCs w:val="32"/>
      <w:lang w:eastAsia="cs-CZ"/>
    </w:rPr>
  </w:style>
  <w:style w:type="paragraph" w:customStyle="1" w:styleId="xl125">
    <w:name w:val="xl125"/>
    <w:basedOn w:val="Normln"/>
    <w:rsid w:val="00144A2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6">
    <w:name w:val="xl126"/>
    <w:basedOn w:val="Normln"/>
    <w:rsid w:val="00144A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cs-CZ"/>
    </w:rPr>
  </w:style>
  <w:style w:type="paragraph" w:customStyle="1" w:styleId="xl127">
    <w:name w:val="xl127"/>
    <w:basedOn w:val="Normln"/>
    <w:rsid w:val="00144A2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cs-CZ"/>
    </w:rPr>
  </w:style>
  <w:style w:type="paragraph" w:customStyle="1" w:styleId="xl128">
    <w:name w:val="xl128"/>
    <w:basedOn w:val="Normln"/>
    <w:rsid w:val="00144A25"/>
    <w:pPr>
      <w:spacing w:before="100" w:beforeAutospacing="1" w:after="100" w:afterAutospacing="1" w:line="240" w:lineRule="auto"/>
    </w:pPr>
    <w:rPr>
      <w:rFonts w:ascii="Times New Roman" w:eastAsia="Times New Roman" w:hAnsi="Times New Roman" w:cs="Times New Roman"/>
      <w:b/>
      <w:bCs/>
      <w:color w:val="365F91"/>
      <w:sz w:val="32"/>
      <w:szCs w:val="32"/>
      <w:lang w:eastAsia="cs-CZ"/>
    </w:rPr>
  </w:style>
  <w:style w:type="paragraph" w:styleId="Seznamobrzk">
    <w:name w:val="table of figures"/>
    <w:basedOn w:val="Normln"/>
    <w:next w:val="Normln"/>
    <w:uiPriority w:val="99"/>
    <w:unhideWhenUsed/>
    <w:rsid w:val="00144A25"/>
    <w:pPr>
      <w:spacing w:after="0"/>
    </w:pPr>
  </w:style>
  <w:style w:type="paragraph" w:customStyle="1" w:styleId="xl65">
    <w:name w:val="xl65"/>
    <w:basedOn w:val="Normln"/>
    <w:rsid w:val="00144A25"/>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6">
    <w:name w:val="xl66"/>
    <w:basedOn w:val="Normln"/>
    <w:rsid w:val="00144A25"/>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cs-CZ"/>
    </w:rPr>
  </w:style>
  <w:style w:type="character" w:styleId="slostrnky">
    <w:name w:val="page number"/>
    <w:basedOn w:val="Standardnpsmoodstavce"/>
    <w:rsid w:val="00144A25"/>
  </w:style>
  <w:style w:type="character" w:customStyle="1" w:styleId="datalabel">
    <w:name w:val="datalabel"/>
    <w:basedOn w:val="Standardnpsmoodstavce"/>
    <w:rsid w:val="00144A25"/>
  </w:style>
  <w:style w:type="paragraph" w:customStyle="1" w:styleId="default0">
    <w:name w:val="default"/>
    <w:basedOn w:val="Normln"/>
    <w:uiPriority w:val="99"/>
    <w:rsid w:val="00144A25"/>
    <w:pPr>
      <w:spacing w:after="0" w:line="240" w:lineRule="auto"/>
    </w:pPr>
    <w:rPr>
      <w:rFonts w:ascii="Times New Roman" w:eastAsia="Times New Roman" w:hAnsi="Times New Roman" w:cs="Times New Roman"/>
      <w:sz w:val="24"/>
      <w:szCs w:val="24"/>
      <w:lang w:eastAsia="cs-CZ"/>
    </w:rPr>
  </w:style>
  <w:style w:type="paragraph" w:customStyle="1" w:styleId="Budjovice-tabulka">
    <w:name w:val="Budějovice - tabulka"/>
    <w:basedOn w:val="Normln"/>
    <w:autoRedefine/>
    <w:rsid w:val="00144A25"/>
    <w:pPr>
      <w:spacing w:before="180" w:after="0" w:line="240" w:lineRule="auto"/>
    </w:pPr>
    <w:rPr>
      <w:rFonts w:eastAsia="Times New Roman" w:cstheme="minorHAnsi"/>
      <w:b/>
      <w:bCs/>
      <w:i/>
      <w:iCs/>
      <w:sz w:val="20"/>
      <w:szCs w:val="20"/>
      <w:lang w:eastAsia="cs-CZ"/>
    </w:rPr>
  </w:style>
  <w:style w:type="paragraph" w:customStyle="1" w:styleId="Budjovice-zdroj">
    <w:name w:val="Budějovice - zdroj"/>
    <w:basedOn w:val="Normln"/>
    <w:autoRedefine/>
    <w:rsid w:val="00144A25"/>
    <w:pPr>
      <w:spacing w:after="0" w:line="240" w:lineRule="auto"/>
      <w:jc w:val="both"/>
    </w:pPr>
    <w:rPr>
      <w:rFonts w:ascii="Tahoma" w:eastAsia="Times New Roman" w:hAnsi="Tahoma" w:cs="Tahoma"/>
      <w:i/>
      <w:sz w:val="14"/>
      <w:szCs w:val="1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13678</Words>
  <Characters>80701</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Krsnakova</dc:creator>
  <cp:lastModifiedBy>Robert Kubala</cp:lastModifiedBy>
  <cp:revision>2</cp:revision>
  <dcterms:created xsi:type="dcterms:W3CDTF">2019-08-27T12:34:00Z</dcterms:created>
  <dcterms:modified xsi:type="dcterms:W3CDTF">2019-08-27T12:34:00Z</dcterms:modified>
</cp:coreProperties>
</file>